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87738" w:rsidRPr="00D376FC" w:rsidRDefault="004E7F92">
            <w:pPr>
              <w:rPr>
                <w:b/>
                <w:szCs w:val="24"/>
              </w:rPr>
            </w:pPr>
            <w:r w:rsidRPr="00D376FC">
              <w:rPr>
                <w:b/>
                <w:szCs w:val="24"/>
              </w:rPr>
              <w:t>Vokiečių kalba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87738" w:rsidRPr="004426DC" w:rsidRDefault="004E7F9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Umwelt</w:t>
            </w:r>
            <w:proofErr w:type="spellEnd"/>
            <w:r>
              <w:rPr>
                <w:rFonts w:cs="Times New Roman"/>
                <w:szCs w:val="24"/>
              </w:rPr>
              <w:t xml:space="preserve"> und </w:t>
            </w:r>
            <w:proofErr w:type="spellStart"/>
            <w:r>
              <w:rPr>
                <w:rFonts w:cs="Times New Roman"/>
                <w:szCs w:val="24"/>
              </w:rPr>
              <w:t>Klimaschutz</w:t>
            </w:r>
            <w:proofErr w:type="spellEnd"/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87738" w:rsidRDefault="004E7F9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II a, b</w:t>
            </w:r>
          </w:p>
        </w:tc>
      </w:tr>
      <w:tr w:rsidR="00487738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487738" w:rsidRDefault="00695E2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Pažinimo, kūrybiškumo, skaitmeninė, socialinė, emoc</w:t>
            </w:r>
            <w:r w:rsidR="00DF3ECA">
              <w:rPr>
                <w:bCs/>
                <w:szCs w:val="24"/>
              </w:rPr>
              <w:t>inė, pilietiškumo, komunikavimo</w:t>
            </w:r>
          </w:p>
        </w:tc>
      </w:tr>
      <w:tr w:rsidR="00487738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487738" w:rsidRPr="00E87A8A" w:rsidRDefault="007828EE" w:rsidP="007828EE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Naudodamiesi mokytojo</w:t>
            </w:r>
            <w:r w:rsidR="00695E2B">
              <w:rPr>
                <w:rFonts w:cs="Times New Roman"/>
                <w:bCs/>
                <w:szCs w:val="24"/>
              </w:rPr>
              <w:t xml:space="preserve"> pagalba, Power </w:t>
            </w:r>
            <w:proofErr w:type="spellStart"/>
            <w:r w:rsidR="00695E2B">
              <w:rPr>
                <w:rFonts w:cs="Times New Roman"/>
                <w:bCs/>
                <w:szCs w:val="24"/>
              </w:rPr>
              <w:t>Point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programa</w:t>
            </w:r>
            <w:r w:rsidR="00695E2B">
              <w:rPr>
                <w:rFonts w:cs="Times New Roman"/>
                <w:bCs/>
                <w:szCs w:val="24"/>
              </w:rPr>
              <w:t xml:space="preserve">, vaizdo medžiaga, savo žiniomis, dirbdami grupėse ir individualiai, atliks </w:t>
            </w:r>
            <w:r>
              <w:rPr>
                <w:rFonts w:cs="Times New Roman"/>
                <w:bCs/>
                <w:szCs w:val="24"/>
              </w:rPr>
              <w:t>bendraklasių</w:t>
            </w:r>
            <w:r w:rsidR="00695E2B">
              <w:rPr>
                <w:rFonts w:cs="Times New Roman"/>
                <w:bCs/>
                <w:szCs w:val="24"/>
              </w:rPr>
              <w:t xml:space="preserve"> apklausą </w:t>
            </w:r>
            <w:r w:rsidR="00731D35">
              <w:rPr>
                <w:rFonts w:cs="Times New Roman"/>
                <w:bCs/>
                <w:szCs w:val="24"/>
              </w:rPr>
              <w:t>(2–</w:t>
            </w:r>
            <w:r>
              <w:rPr>
                <w:rFonts w:cs="Times New Roman"/>
                <w:bCs/>
                <w:szCs w:val="24"/>
              </w:rPr>
              <w:t xml:space="preserve">4 sakiniai) </w:t>
            </w:r>
            <w:r w:rsidR="00695E2B">
              <w:rPr>
                <w:rFonts w:cs="Times New Roman"/>
                <w:bCs/>
                <w:szCs w:val="24"/>
              </w:rPr>
              <w:t>ir ap</w:t>
            </w:r>
            <w:r>
              <w:rPr>
                <w:rFonts w:cs="Times New Roman"/>
                <w:bCs/>
                <w:szCs w:val="24"/>
              </w:rPr>
              <w:t>skaičiuos rezultatus procentais.</w:t>
            </w:r>
            <w:r w:rsidR="00695E2B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Mokiniai kurs</w:t>
            </w:r>
            <w:r w:rsidR="00731D35">
              <w:rPr>
                <w:rFonts w:cs="Times New Roman"/>
                <w:bCs/>
                <w:szCs w:val="24"/>
              </w:rPr>
              <w:t xml:space="preserve"> 8–</w:t>
            </w:r>
            <w:r w:rsidR="00695E2B">
              <w:rPr>
                <w:rFonts w:cs="Times New Roman"/>
                <w:bCs/>
                <w:szCs w:val="24"/>
              </w:rPr>
              <w:t>10</w:t>
            </w:r>
            <w:r>
              <w:rPr>
                <w:rFonts w:cs="Times New Roman"/>
                <w:bCs/>
                <w:szCs w:val="24"/>
              </w:rPr>
              <w:t xml:space="preserve"> sakinių apie gamtos užterštumą, </w:t>
            </w:r>
            <w:r w:rsidR="00695E2B">
              <w:rPr>
                <w:rFonts w:cs="Times New Roman"/>
                <w:bCs/>
                <w:szCs w:val="24"/>
              </w:rPr>
              <w:t xml:space="preserve">nufilmuos bei pristatys </w:t>
            </w:r>
            <w:proofErr w:type="spellStart"/>
            <w:r w:rsidR="00695E2B">
              <w:rPr>
                <w:szCs w:val="24"/>
              </w:rPr>
              <w:t>E</w:t>
            </w:r>
            <w:r w:rsidR="00695E2B" w:rsidRPr="005F57F0">
              <w:rPr>
                <w:szCs w:val="24"/>
              </w:rPr>
              <w:t>xplainity</w:t>
            </w:r>
            <w:proofErr w:type="spellEnd"/>
            <w:r w:rsidR="00695E2B" w:rsidRPr="005F57F0">
              <w:rPr>
                <w:szCs w:val="24"/>
              </w:rPr>
              <w:t xml:space="preserve"> </w:t>
            </w:r>
            <w:proofErr w:type="spellStart"/>
            <w:r w:rsidR="00695E2B" w:rsidRPr="005F57F0">
              <w:rPr>
                <w:szCs w:val="24"/>
              </w:rPr>
              <w:t>videos</w:t>
            </w:r>
            <w:proofErr w:type="spellEnd"/>
            <w:r w:rsidR="00695E2B">
              <w:rPr>
                <w:szCs w:val="24"/>
              </w:rPr>
              <w:t xml:space="preserve"> (paaiškinamuosius filmukus). </w:t>
            </w:r>
          </w:p>
        </w:tc>
      </w:tr>
      <w:tr w:rsidR="00487738">
        <w:trPr>
          <w:trHeight w:val="1196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487738" w:rsidRDefault="00695E2B" w:rsidP="00731D3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Aptariama, naudojanti PP pristatymu ir vaizdo medžiaga, iš kur ir kaip teršalai pate</w:t>
            </w:r>
            <w:r w:rsidR="007828EE">
              <w:rPr>
                <w:bCs/>
                <w:szCs w:val="24"/>
              </w:rPr>
              <w:t>nka į dirvožemį ir vandenį. Su</w:t>
            </w:r>
            <w:r>
              <w:rPr>
                <w:bCs/>
                <w:szCs w:val="24"/>
              </w:rPr>
              <w:t xml:space="preserve">renkami žodžiai </w:t>
            </w:r>
            <w:r w:rsidR="00731D35">
              <w:rPr>
                <w:bCs/>
                <w:szCs w:val="24"/>
              </w:rPr>
              <w:t xml:space="preserve">pasakyti </w:t>
            </w:r>
            <w:r>
              <w:rPr>
                <w:bCs/>
                <w:szCs w:val="24"/>
              </w:rPr>
              <w:t>vokiečių kalba, kaip teršalai patenka į dirvožemį ir vandenį. Sudaromas (10 sakinių) pasakojimas.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</w:tcPr>
          <w:p w:rsidR="00487738" w:rsidRDefault="00C00351" w:rsidP="00695E2B">
            <w:pPr>
              <w:jc w:val="both"/>
              <w:rPr>
                <w:bCs/>
                <w:szCs w:val="24"/>
              </w:rPr>
            </w:pPr>
            <w:proofErr w:type="spellStart"/>
            <w:r>
              <w:rPr>
                <w:szCs w:val="24"/>
              </w:rPr>
              <w:t>E</w:t>
            </w:r>
            <w:r w:rsidRPr="005F57F0">
              <w:rPr>
                <w:szCs w:val="24"/>
              </w:rPr>
              <w:t>xplainity</w:t>
            </w:r>
            <w:proofErr w:type="spellEnd"/>
            <w:r w:rsidRPr="005F57F0">
              <w:rPr>
                <w:szCs w:val="24"/>
              </w:rPr>
              <w:t xml:space="preserve"> </w:t>
            </w:r>
            <w:proofErr w:type="spellStart"/>
            <w:r w:rsidRPr="005F57F0">
              <w:rPr>
                <w:szCs w:val="24"/>
              </w:rPr>
              <w:t>videos</w:t>
            </w:r>
            <w:proofErr w:type="spellEnd"/>
            <w:r>
              <w:rPr>
                <w:szCs w:val="24"/>
              </w:rPr>
              <w:t xml:space="preserve"> – mobiliuoju telefonu grupė filmuoja paaiškinamąjį vaizdo įrašą apie tai, kaip teršalai patenka į dirvožemį ir vandenį (ratas)</w:t>
            </w:r>
            <w:r w:rsidR="00D376FC">
              <w:rPr>
                <w:szCs w:val="24"/>
              </w:rPr>
              <w:t>.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:rsidR="00487738" w:rsidRDefault="00C00351" w:rsidP="00695E2B">
            <w:pPr>
              <w:jc w:val="both"/>
              <w:rPr>
                <w:bCs/>
                <w:szCs w:val="24"/>
              </w:rPr>
            </w:pPr>
            <w:proofErr w:type="spellStart"/>
            <w:r>
              <w:rPr>
                <w:szCs w:val="24"/>
              </w:rPr>
              <w:t>E</w:t>
            </w:r>
            <w:r w:rsidRPr="005F57F0">
              <w:rPr>
                <w:szCs w:val="24"/>
              </w:rPr>
              <w:t>xplainity</w:t>
            </w:r>
            <w:proofErr w:type="spellEnd"/>
            <w:r w:rsidRPr="005F57F0">
              <w:rPr>
                <w:szCs w:val="24"/>
              </w:rPr>
              <w:t xml:space="preserve"> </w:t>
            </w:r>
            <w:proofErr w:type="spellStart"/>
            <w:r w:rsidRPr="005F57F0">
              <w:rPr>
                <w:szCs w:val="24"/>
              </w:rPr>
              <w:t>videos</w:t>
            </w:r>
            <w:proofErr w:type="spellEnd"/>
            <w:r>
              <w:rPr>
                <w:szCs w:val="24"/>
              </w:rPr>
              <w:t xml:space="preserve"> – projektuoja procesą  – sustumdo popierinius paveikslėlius ant stalo.</w:t>
            </w:r>
            <w:r w:rsidR="007828EE">
              <w:rPr>
                <w:szCs w:val="24"/>
              </w:rPr>
              <w:t xml:space="preserve"> Naudoja mobilų telefoną vaizdo įrašui sukurti, perkelia</w:t>
            </w:r>
            <w:r w:rsidR="00B04D10">
              <w:rPr>
                <w:szCs w:val="24"/>
              </w:rPr>
              <w:t xml:space="preserve"> į </w:t>
            </w:r>
            <w:proofErr w:type="spellStart"/>
            <w:r w:rsidR="00B04D10">
              <w:rPr>
                <w:szCs w:val="24"/>
              </w:rPr>
              <w:t>Teams</w:t>
            </w:r>
            <w:proofErr w:type="spellEnd"/>
            <w:r w:rsidR="00B04D10">
              <w:rPr>
                <w:szCs w:val="24"/>
              </w:rPr>
              <w:t xml:space="preserve"> aplinką demonstravimui</w:t>
            </w:r>
            <w:r w:rsidR="00D376FC">
              <w:rPr>
                <w:szCs w:val="24"/>
              </w:rPr>
              <w:t>.</w:t>
            </w:r>
          </w:p>
        </w:tc>
      </w:tr>
      <w:tr w:rsidR="00487738" w:rsidTr="00D13147">
        <w:trPr>
          <w:trHeight w:val="905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487738" w:rsidRPr="0045698C" w:rsidRDefault="00C00351" w:rsidP="00695E2B">
            <w:pPr>
              <w:jc w:val="both"/>
              <w:rPr>
                <w:szCs w:val="24"/>
              </w:rPr>
            </w:pPr>
            <w:proofErr w:type="spellStart"/>
            <w:r w:rsidRPr="00C00351">
              <w:rPr>
                <w:szCs w:val="24"/>
              </w:rPr>
              <w:t>Explainity</w:t>
            </w:r>
            <w:proofErr w:type="spellEnd"/>
            <w:r w:rsidRPr="005F57F0">
              <w:rPr>
                <w:szCs w:val="24"/>
              </w:rPr>
              <w:t xml:space="preserve"> </w:t>
            </w:r>
            <w:proofErr w:type="spellStart"/>
            <w:r w:rsidRPr="005F57F0">
              <w:rPr>
                <w:szCs w:val="24"/>
              </w:rPr>
              <w:t>videos</w:t>
            </w:r>
            <w:proofErr w:type="spellEnd"/>
            <w:r>
              <w:rPr>
                <w:szCs w:val="24"/>
              </w:rPr>
              <w:t xml:space="preserve"> – pasiruošia, nupiešia, iškerpa paveikslėlius, paaiškinančius teršalų patekimą į dirvožemį ir vandenį</w:t>
            </w:r>
            <w:r w:rsidR="00D376FC">
              <w:rPr>
                <w:szCs w:val="24"/>
              </w:rPr>
              <w:t>.</w:t>
            </w:r>
          </w:p>
        </w:tc>
      </w:tr>
      <w:tr w:rsidR="00487738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C74B8D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:rsidR="00487738" w:rsidRPr="0045698C" w:rsidRDefault="004E7F92" w:rsidP="007828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Apskaičiuo</w:t>
            </w:r>
            <w:r w:rsidR="007828EE">
              <w:rPr>
                <w:szCs w:val="24"/>
              </w:rPr>
              <w:t>ja</w:t>
            </w:r>
            <w:r>
              <w:rPr>
                <w:szCs w:val="24"/>
              </w:rPr>
              <w:t xml:space="preserve"> apklausos rezultatus grupėje procentais, kiek </w:t>
            </w:r>
            <w:r w:rsidR="007828EE">
              <w:rPr>
                <w:szCs w:val="24"/>
              </w:rPr>
              <w:t>bendraklasių</w:t>
            </w:r>
            <w:r>
              <w:rPr>
                <w:szCs w:val="24"/>
              </w:rPr>
              <w:t xml:space="preserve"> domėjosi aplinkosaugos problemomis, žino apie aplinkos užterštumą ir kokį in</w:t>
            </w:r>
            <w:r w:rsidR="00B04D10">
              <w:rPr>
                <w:szCs w:val="24"/>
              </w:rPr>
              <w:t>dėlį į aplinkosaugą įdeda patys</w:t>
            </w:r>
            <w:r w:rsidR="00D376FC">
              <w:rPr>
                <w:szCs w:val="24"/>
              </w:rPr>
              <w:t>.</w:t>
            </w:r>
          </w:p>
        </w:tc>
      </w:tr>
      <w:tr w:rsidR="00487738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487738" w:rsidRPr="009C23CD" w:rsidRDefault="00695E2B" w:rsidP="0045698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Susimąstyti, kaip kiekvienas kasdien teršia aplinką ir </w:t>
            </w:r>
            <w:r w:rsidR="00B04D10">
              <w:rPr>
                <w:rFonts w:cs="Times New Roman"/>
                <w:szCs w:val="24"/>
              </w:rPr>
              <w:t>ką galėtų daryti kitaip</w:t>
            </w:r>
            <w:r w:rsidR="00D376FC">
              <w:rPr>
                <w:rFonts w:cs="Times New Roman"/>
                <w:szCs w:val="24"/>
              </w:rPr>
              <w:t>.</w:t>
            </w:r>
          </w:p>
        </w:tc>
      </w:tr>
      <w:tr w:rsidR="00487738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487738" w:rsidRPr="00965364" w:rsidRDefault="004E7F92">
            <w:pPr>
              <w:rPr>
                <w:szCs w:val="24"/>
              </w:rPr>
            </w:pPr>
            <w:r>
              <w:rPr>
                <w:szCs w:val="24"/>
              </w:rPr>
              <w:t>2024-02-13</w:t>
            </w:r>
          </w:p>
        </w:tc>
      </w:tr>
      <w:tr w:rsidR="00487738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87738" w:rsidRPr="00695E2B" w:rsidRDefault="00695E2B">
            <w:pPr>
              <w:rPr>
                <w:szCs w:val="24"/>
              </w:rPr>
            </w:pPr>
            <w:r>
              <w:rPr>
                <w:szCs w:val="24"/>
              </w:rPr>
              <w:t xml:space="preserve">21 </w:t>
            </w:r>
            <w:r w:rsidR="004E7F92" w:rsidRPr="00695E2B">
              <w:rPr>
                <w:szCs w:val="24"/>
              </w:rPr>
              <w:t>A kabinetas</w:t>
            </w:r>
          </w:p>
        </w:tc>
      </w:tr>
      <w:tr w:rsidR="00487738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87738" w:rsidRPr="00695E2B" w:rsidRDefault="004E7F92">
            <w:pPr>
              <w:rPr>
                <w:szCs w:val="24"/>
              </w:rPr>
            </w:pPr>
            <w:r w:rsidRPr="00695E2B">
              <w:rPr>
                <w:szCs w:val="24"/>
              </w:rPr>
              <w:t>45 min.</w:t>
            </w:r>
          </w:p>
        </w:tc>
      </w:tr>
      <w:tr w:rsidR="00487738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487738" w:rsidRPr="00695E2B" w:rsidRDefault="004E7F92" w:rsidP="009C23CD">
            <w:pPr>
              <w:rPr>
                <w:szCs w:val="24"/>
              </w:rPr>
            </w:pPr>
            <w:r w:rsidRPr="00695E2B">
              <w:rPr>
                <w:szCs w:val="24"/>
              </w:rPr>
              <w:t>Ignalinos Česlovo Kudabos gimnazija</w:t>
            </w:r>
          </w:p>
        </w:tc>
      </w:tr>
      <w:tr w:rsidR="00487738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695E2B" w:rsidRDefault="00FE4376" w:rsidP="009C23CD">
            <w:pPr>
              <w:rPr>
                <w:szCs w:val="24"/>
              </w:rPr>
            </w:pPr>
            <w:r>
              <w:rPr>
                <w:szCs w:val="24"/>
              </w:rPr>
              <w:t>Su darbo metodu „</w:t>
            </w:r>
            <w:proofErr w:type="spellStart"/>
            <w:r>
              <w:rPr>
                <w:szCs w:val="24"/>
              </w:rPr>
              <w:t>E</w:t>
            </w:r>
            <w:r w:rsidRPr="005F57F0">
              <w:rPr>
                <w:szCs w:val="24"/>
              </w:rPr>
              <w:t>xplainity</w:t>
            </w:r>
            <w:proofErr w:type="spellEnd"/>
            <w:r w:rsidRPr="005F57F0">
              <w:rPr>
                <w:szCs w:val="24"/>
              </w:rPr>
              <w:t xml:space="preserve"> </w:t>
            </w:r>
            <w:proofErr w:type="spellStart"/>
            <w:r w:rsidRPr="005F57F0">
              <w:rPr>
                <w:szCs w:val="24"/>
              </w:rPr>
              <w:t>videos</w:t>
            </w:r>
            <w:proofErr w:type="spellEnd"/>
            <w:r>
              <w:rPr>
                <w:szCs w:val="24"/>
              </w:rPr>
              <w:t>“ mokiniai turi susip</w:t>
            </w:r>
            <w:r w:rsidR="00B04D10">
              <w:rPr>
                <w:szCs w:val="24"/>
              </w:rPr>
              <w:t>ažinti jau ankstesnėse pamokose</w:t>
            </w:r>
            <w:r w:rsidR="00D376FC">
              <w:rPr>
                <w:szCs w:val="24"/>
              </w:rPr>
              <w:t>.</w:t>
            </w:r>
            <w:bookmarkStart w:id="0" w:name="_GoBack"/>
            <w:bookmarkEnd w:id="0"/>
          </w:p>
        </w:tc>
      </w:tr>
      <w:tr w:rsidR="00487738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487738" w:rsidRPr="009C23CD" w:rsidRDefault="00487738" w:rsidP="009C23CD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E4376">
      <w:pgSz w:w="11906" w:h="16838"/>
      <w:pgMar w:top="567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43F4D"/>
    <w:rsid w:val="00055687"/>
    <w:rsid w:val="000574F9"/>
    <w:rsid w:val="00094A6D"/>
    <w:rsid w:val="001359EF"/>
    <w:rsid w:val="00280E6F"/>
    <w:rsid w:val="0032498B"/>
    <w:rsid w:val="003B7A24"/>
    <w:rsid w:val="003D02DE"/>
    <w:rsid w:val="004426DC"/>
    <w:rsid w:val="0045698C"/>
    <w:rsid w:val="00487738"/>
    <w:rsid w:val="004E7F92"/>
    <w:rsid w:val="00500E33"/>
    <w:rsid w:val="00695E2B"/>
    <w:rsid w:val="006B2205"/>
    <w:rsid w:val="006E337C"/>
    <w:rsid w:val="00731D35"/>
    <w:rsid w:val="007828EE"/>
    <w:rsid w:val="007C3FAF"/>
    <w:rsid w:val="00862F2C"/>
    <w:rsid w:val="00924E21"/>
    <w:rsid w:val="00965364"/>
    <w:rsid w:val="009C23CD"/>
    <w:rsid w:val="00A13C6E"/>
    <w:rsid w:val="00A31DB6"/>
    <w:rsid w:val="00A53721"/>
    <w:rsid w:val="00A67818"/>
    <w:rsid w:val="00B04D10"/>
    <w:rsid w:val="00B40337"/>
    <w:rsid w:val="00B85F2B"/>
    <w:rsid w:val="00C00351"/>
    <w:rsid w:val="00C74B8D"/>
    <w:rsid w:val="00CF77DF"/>
    <w:rsid w:val="00D03F09"/>
    <w:rsid w:val="00D13147"/>
    <w:rsid w:val="00D376FC"/>
    <w:rsid w:val="00D90395"/>
    <w:rsid w:val="00DF3ECA"/>
    <w:rsid w:val="00DF4BA9"/>
    <w:rsid w:val="00E0668A"/>
    <w:rsid w:val="00E6685B"/>
    <w:rsid w:val="00E858E4"/>
    <w:rsid w:val="00E87A8A"/>
    <w:rsid w:val="00FE437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FB1B"/>
  <w15:docId w15:val="{08F6E9CB-C5CB-47F3-8E5B-2480803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7</cp:revision>
  <dcterms:created xsi:type="dcterms:W3CDTF">2024-02-28T11:08:00Z</dcterms:created>
  <dcterms:modified xsi:type="dcterms:W3CDTF">2024-03-06T06:05:00Z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