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:rsidR="00487738" w:rsidRDefault="0048773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487738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:rsidR="00487738" w:rsidRPr="00E87A8A" w:rsidRDefault="00DE2207" w:rsidP="003703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Chemija</w:t>
            </w:r>
          </w:p>
        </w:tc>
      </w:tr>
      <w:tr w:rsidR="00487738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:rsidR="00487738" w:rsidRPr="004426DC" w:rsidRDefault="00DE2207" w:rsidP="006C1F4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Rūgštu ar kartu</w:t>
            </w:r>
          </w:p>
        </w:tc>
      </w:tr>
      <w:tr w:rsidR="00487738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487738" w:rsidRDefault="003D3F3F" w:rsidP="003703DE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I</w:t>
            </w:r>
            <w:r w:rsidR="00AB78DD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a</w:t>
            </w:r>
          </w:p>
        </w:tc>
      </w:tr>
      <w:tr w:rsidR="00487738">
        <w:trPr>
          <w:trHeight w:val="802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3D3F3F" w:rsidRPr="00E62EEC" w:rsidRDefault="003D3F3F" w:rsidP="003703DE">
            <w:pPr>
              <w:jc w:val="both"/>
              <w:rPr>
                <w:bCs/>
                <w:szCs w:val="24"/>
              </w:rPr>
            </w:pPr>
            <w:r w:rsidRPr="00E62EEC">
              <w:rPr>
                <w:bCs/>
                <w:i/>
                <w:szCs w:val="24"/>
              </w:rPr>
              <w:t>Pažinimo</w:t>
            </w:r>
            <w:r w:rsidRPr="00E62EEC">
              <w:rPr>
                <w:bCs/>
                <w:szCs w:val="24"/>
              </w:rPr>
              <w:t xml:space="preserve"> – mąstys apie žmogaus</w:t>
            </w:r>
            <w:r w:rsidR="00E62EEC">
              <w:rPr>
                <w:bCs/>
                <w:szCs w:val="24"/>
              </w:rPr>
              <w:t xml:space="preserve"> skonio receptorių </w:t>
            </w:r>
            <w:r w:rsidRPr="00E62EEC">
              <w:rPr>
                <w:bCs/>
                <w:szCs w:val="24"/>
              </w:rPr>
              <w:t xml:space="preserve"> santykį,  skatin</w:t>
            </w:r>
            <w:r w:rsidR="00E62EEC">
              <w:rPr>
                <w:bCs/>
                <w:szCs w:val="24"/>
              </w:rPr>
              <w:t>s</w:t>
            </w:r>
            <w:r w:rsidRPr="00E62EEC">
              <w:rPr>
                <w:bCs/>
                <w:szCs w:val="24"/>
              </w:rPr>
              <w:t xml:space="preserve"> ieškoti naujų metodų sprendžiant probleminius klausimus.</w:t>
            </w:r>
          </w:p>
          <w:p w:rsidR="003D3F3F" w:rsidRPr="00E62EEC" w:rsidRDefault="003D3F3F" w:rsidP="003703DE">
            <w:pPr>
              <w:jc w:val="both"/>
              <w:rPr>
                <w:bCs/>
                <w:szCs w:val="24"/>
              </w:rPr>
            </w:pPr>
            <w:r w:rsidRPr="00E62EEC">
              <w:rPr>
                <w:bCs/>
                <w:i/>
                <w:szCs w:val="24"/>
              </w:rPr>
              <w:t>Kūrybiškumo</w:t>
            </w:r>
            <w:r w:rsidRPr="00E62EEC">
              <w:rPr>
                <w:bCs/>
                <w:szCs w:val="24"/>
              </w:rPr>
              <w:t xml:space="preserve"> – savarankiškai žodžiu ir raštu </w:t>
            </w:r>
            <w:r w:rsidR="00E62EEC">
              <w:rPr>
                <w:bCs/>
                <w:szCs w:val="24"/>
              </w:rPr>
              <w:t>atliks tiriamąjį darbą</w:t>
            </w:r>
            <w:r w:rsidRPr="00E62EEC">
              <w:rPr>
                <w:bCs/>
                <w:szCs w:val="24"/>
              </w:rPr>
              <w:t>, taikys pagrindines akademinio ir kūrybinio rašymo strategijas.</w:t>
            </w:r>
          </w:p>
          <w:p w:rsidR="003D3F3F" w:rsidRPr="00E62EEC" w:rsidRDefault="003D3F3F" w:rsidP="003703DE">
            <w:pPr>
              <w:jc w:val="both"/>
              <w:rPr>
                <w:bCs/>
                <w:szCs w:val="24"/>
              </w:rPr>
            </w:pPr>
            <w:r w:rsidRPr="00E62EEC">
              <w:rPr>
                <w:bCs/>
                <w:i/>
                <w:szCs w:val="24"/>
              </w:rPr>
              <w:t>Pilietiškumo</w:t>
            </w:r>
            <w:r w:rsidRPr="00E62EEC">
              <w:rPr>
                <w:bCs/>
                <w:szCs w:val="24"/>
              </w:rPr>
              <w:t xml:space="preserve"> – atpažins gamtos ir žmogaus </w:t>
            </w:r>
            <w:r w:rsidR="00E62EEC">
              <w:rPr>
                <w:bCs/>
                <w:szCs w:val="24"/>
              </w:rPr>
              <w:t xml:space="preserve">gyvenimiškų situacijų </w:t>
            </w:r>
            <w:r w:rsidRPr="00E62EEC">
              <w:rPr>
                <w:bCs/>
                <w:szCs w:val="24"/>
              </w:rPr>
              <w:t xml:space="preserve"> pasekmes</w:t>
            </w:r>
            <w:r w:rsidR="00FC5BF5" w:rsidRPr="00E62EEC">
              <w:rPr>
                <w:bCs/>
                <w:szCs w:val="24"/>
              </w:rPr>
              <w:t xml:space="preserve">. </w:t>
            </w:r>
            <w:r w:rsidRPr="00E62EEC">
              <w:rPr>
                <w:bCs/>
                <w:szCs w:val="24"/>
              </w:rPr>
              <w:t xml:space="preserve">Suvoks asmeninę, kaip piliečio, atsakomybę </w:t>
            </w:r>
            <w:r w:rsidR="00E62EEC">
              <w:rPr>
                <w:bCs/>
                <w:szCs w:val="24"/>
              </w:rPr>
              <w:t>naudojant rūgščias ir karčias medžiagas</w:t>
            </w:r>
            <w:r w:rsidRPr="00E62EEC">
              <w:rPr>
                <w:bCs/>
                <w:szCs w:val="24"/>
              </w:rPr>
              <w:t>.</w:t>
            </w:r>
          </w:p>
          <w:p w:rsidR="003D3F3F" w:rsidRPr="00E62EEC" w:rsidRDefault="003D3F3F" w:rsidP="003703DE">
            <w:pPr>
              <w:jc w:val="both"/>
              <w:rPr>
                <w:bCs/>
                <w:szCs w:val="24"/>
              </w:rPr>
            </w:pPr>
            <w:r w:rsidRPr="00E62EEC">
              <w:rPr>
                <w:bCs/>
                <w:i/>
                <w:szCs w:val="24"/>
              </w:rPr>
              <w:t>Socialinė, emocinė ir sveikos gyvensenos</w:t>
            </w:r>
            <w:r w:rsidRPr="00E62EEC">
              <w:rPr>
                <w:bCs/>
                <w:szCs w:val="24"/>
              </w:rPr>
              <w:t xml:space="preserve"> – vadovausis bendražmogiškosiomis vertybėmis, suvoks, kaip sudėtingose situacijose vertybės padeda rasti sprendimus.</w:t>
            </w:r>
          </w:p>
          <w:p w:rsidR="003D3F3F" w:rsidRPr="00E62EEC" w:rsidRDefault="003D3F3F" w:rsidP="003703DE">
            <w:pPr>
              <w:jc w:val="both"/>
              <w:rPr>
                <w:bCs/>
                <w:szCs w:val="24"/>
              </w:rPr>
            </w:pPr>
            <w:r w:rsidRPr="00E62EEC">
              <w:rPr>
                <w:bCs/>
                <w:i/>
                <w:szCs w:val="24"/>
              </w:rPr>
              <w:t>Komunikavimo</w:t>
            </w:r>
            <w:r w:rsidRPr="00E62EEC">
              <w:rPr>
                <w:bCs/>
                <w:szCs w:val="24"/>
              </w:rPr>
              <w:t xml:space="preserve"> –  komunikuodamas atskleis savo asmenybę, išreikš save remdamasis gerosios praktikos pavyzdžiais.</w:t>
            </w:r>
          </w:p>
          <w:p w:rsidR="00487738" w:rsidRDefault="003D3F3F" w:rsidP="003703DE">
            <w:pPr>
              <w:jc w:val="both"/>
              <w:rPr>
                <w:bCs/>
                <w:szCs w:val="24"/>
              </w:rPr>
            </w:pPr>
            <w:r w:rsidRPr="00E62EEC">
              <w:rPr>
                <w:bCs/>
                <w:szCs w:val="24"/>
              </w:rPr>
              <w:t>Skaitmeninė: ieškos duomenų ir informacijos naudodamasis paprasta paieška skaitmeninėje aplinkoje.</w:t>
            </w:r>
          </w:p>
        </w:tc>
      </w:tr>
      <w:tr w:rsidR="00487738">
        <w:trPr>
          <w:trHeight w:val="841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Mokymo(si) uždavinys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:rsidR="00487738" w:rsidRPr="00E87A8A" w:rsidRDefault="00BF2199" w:rsidP="00E62EEC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Dirbdami grupėse analizuos</w:t>
            </w:r>
            <w:r w:rsidR="003D3F3F" w:rsidRPr="00E62EEC">
              <w:rPr>
                <w:rFonts w:cs="Times New Roman"/>
                <w:bCs/>
                <w:szCs w:val="24"/>
              </w:rPr>
              <w:t xml:space="preserve"> </w:t>
            </w:r>
            <w:r w:rsidR="00E62EEC">
              <w:rPr>
                <w:rFonts w:cs="Times New Roman"/>
                <w:bCs/>
                <w:szCs w:val="24"/>
              </w:rPr>
              <w:t>medžiagas</w:t>
            </w:r>
            <w:r>
              <w:rPr>
                <w:rFonts w:cs="Times New Roman"/>
                <w:bCs/>
                <w:szCs w:val="24"/>
              </w:rPr>
              <w:t xml:space="preserve"> ir</w:t>
            </w:r>
            <w:r w:rsidR="00E62EEC">
              <w:rPr>
                <w:rFonts w:cs="Times New Roman"/>
                <w:bCs/>
                <w:szCs w:val="24"/>
              </w:rPr>
              <w:t xml:space="preserve"> </w:t>
            </w:r>
            <w:r w:rsidR="003D3F3F" w:rsidRPr="00E62EEC">
              <w:rPr>
                <w:rFonts w:cs="Times New Roman"/>
                <w:bCs/>
                <w:szCs w:val="24"/>
              </w:rPr>
              <w:t>paaiškins, k</w:t>
            </w:r>
            <w:r w:rsidR="00E62EEC">
              <w:rPr>
                <w:rFonts w:cs="Times New Roman"/>
                <w:bCs/>
                <w:szCs w:val="24"/>
              </w:rPr>
              <w:t>aip atpažinti rūgščias ir karčias medž</w:t>
            </w:r>
            <w:r>
              <w:rPr>
                <w:rFonts w:cs="Times New Roman"/>
                <w:bCs/>
                <w:szCs w:val="24"/>
              </w:rPr>
              <w:t>iagas skonio receptorių pagalba</w:t>
            </w:r>
          </w:p>
        </w:tc>
      </w:tr>
      <w:tr w:rsidR="00487738">
        <w:trPr>
          <w:trHeight w:val="1196"/>
        </w:trPr>
        <w:tc>
          <w:tcPr>
            <w:tcW w:w="443" w:type="dxa"/>
            <w:vMerge w:val="restart"/>
            <w:vAlign w:val="center"/>
          </w:tcPr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:rsidR="00487738" w:rsidRPr="00E62EEC" w:rsidRDefault="003D3F3F" w:rsidP="003703DE">
            <w:pPr>
              <w:jc w:val="both"/>
              <w:rPr>
                <w:bCs/>
                <w:szCs w:val="24"/>
              </w:rPr>
            </w:pPr>
            <w:r w:rsidRPr="00E62EEC">
              <w:rPr>
                <w:bCs/>
                <w:szCs w:val="24"/>
              </w:rPr>
              <w:t xml:space="preserve">Pakartos </w:t>
            </w:r>
            <w:r w:rsidR="00E62EEC">
              <w:rPr>
                <w:bCs/>
                <w:szCs w:val="24"/>
              </w:rPr>
              <w:t xml:space="preserve">rūgštis ir bazes, </w:t>
            </w:r>
            <w:r w:rsidRPr="00E62EEC">
              <w:rPr>
                <w:bCs/>
                <w:szCs w:val="24"/>
              </w:rPr>
              <w:t xml:space="preserve"> diskutuo</w:t>
            </w:r>
            <w:r w:rsidR="00E62EEC">
              <w:rPr>
                <w:bCs/>
                <w:szCs w:val="24"/>
              </w:rPr>
              <w:t>s</w:t>
            </w:r>
            <w:r w:rsidR="00BF2199">
              <w:rPr>
                <w:bCs/>
                <w:szCs w:val="24"/>
              </w:rPr>
              <w:t xml:space="preserve"> ir pagrįs savo nuomonę</w:t>
            </w:r>
          </w:p>
          <w:p w:rsidR="003D3F3F" w:rsidRDefault="003D3F3F" w:rsidP="00E62EEC">
            <w:pPr>
              <w:jc w:val="both"/>
              <w:rPr>
                <w:bCs/>
                <w:szCs w:val="24"/>
              </w:rPr>
            </w:pPr>
          </w:p>
        </w:tc>
      </w:tr>
      <w:tr w:rsidR="00487738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r>
              <w:rPr>
                <w:b/>
                <w:iCs/>
              </w:rPr>
              <w:t xml:space="preserve"> – technologijos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Tinka tiek paprastos, tiek išmanio-sios: darbas kompiuteriu, informa-cijos paieška internete ir kt.</w:t>
            </w:r>
          </w:p>
        </w:tc>
        <w:tc>
          <w:tcPr>
            <w:tcW w:w="6089" w:type="dxa"/>
          </w:tcPr>
          <w:p w:rsidR="00487738" w:rsidRDefault="00BF2199" w:rsidP="003703DE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Prezentacijos</w:t>
            </w:r>
            <w:r w:rsidR="00FC5BF5">
              <w:rPr>
                <w:bCs/>
                <w:szCs w:val="24"/>
              </w:rPr>
              <w:t xml:space="preserve"> rengimas, informacijos paieška internete</w:t>
            </w:r>
          </w:p>
        </w:tc>
      </w:tr>
      <w:tr w:rsidR="00487738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r>
              <w:rPr>
                <w:b/>
                <w:iCs/>
              </w:rPr>
              <w:t xml:space="preserve"> – inžinerija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</w:tcPr>
          <w:p w:rsidR="00487738" w:rsidRDefault="00487738" w:rsidP="003703DE">
            <w:pPr>
              <w:jc w:val="both"/>
              <w:rPr>
                <w:bCs/>
                <w:szCs w:val="24"/>
              </w:rPr>
            </w:pPr>
          </w:p>
        </w:tc>
      </w:tr>
      <w:tr w:rsidR="00487738" w:rsidTr="00D13147">
        <w:trPr>
          <w:trHeight w:val="905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r>
              <w:rPr>
                <w:b/>
                <w:iCs/>
              </w:rPr>
              <w:t xml:space="preserve"> – menai ir kūryba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:rsidR="00487738" w:rsidRPr="0045698C" w:rsidRDefault="003703DE" w:rsidP="00BF219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Remdamiesi </w:t>
            </w:r>
            <w:r w:rsidR="00777FB7">
              <w:rPr>
                <w:szCs w:val="24"/>
              </w:rPr>
              <w:t>skonio receptoriais nustatys</w:t>
            </w:r>
            <w:r>
              <w:rPr>
                <w:szCs w:val="24"/>
              </w:rPr>
              <w:t xml:space="preserve"> </w:t>
            </w:r>
            <w:r w:rsidR="00777FB7">
              <w:rPr>
                <w:szCs w:val="24"/>
              </w:rPr>
              <w:t>rūgštims i</w:t>
            </w:r>
            <w:r w:rsidR="00E62EEC">
              <w:rPr>
                <w:szCs w:val="24"/>
              </w:rPr>
              <w:t>r</w:t>
            </w:r>
            <w:r w:rsidR="00BF2199">
              <w:rPr>
                <w:szCs w:val="24"/>
              </w:rPr>
              <w:t xml:space="preserve"> bazėms būdingus požymius</w:t>
            </w:r>
          </w:p>
        </w:tc>
      </w:tr>
      <w:tr w:rsidR="00487738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iCs/>
              </w:rPr>
            </w:pPr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Įvairūs skaičiavimai ir / ar matema-tinio, loginio mąstymo ugdymas</w:t>
            </w:r>
          </w:p>
        </w:tc>
        <w:tc>
          <w:tcPr>
            <w:tcW w:w="6089" w:type="dxa"/>
          </w:tcPr>
          <w:p w:rsidR="00487738" w:rsidRPr="0045698C" w:rsidRDefault="00777FB7" w:rsidP="00FC5BF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Lentelės pildymas </w:t>
            </w:r>
            <w:r w:rsidR="002E29D2">
              <w:rPr>
                <w:szCs w:val="24"/>
              </w:rPr>
              <w:t>(excel programa)</w:t>
            </w:r>
          </w:p>
        </w:tc>
      </w:tr>
      <w:tr w:rsidR="00487738">
        <w:trPr>
          <w:trHeight w:val="604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:rsidR="00487738" w:rsidRPr="009C23CD" w:rsidRDefault="003D3F3F" w:rsidP="00BF2199">
            <w:pPr>
              <w:jc w:val="both"/>
              <w:rPr>
                <w:rFonts w:cs="Times New Roman"/>
                <w:szCs w:val="24"/>
              </w:rPr>
            </w:pPr>
            <w:r w:rsidRPr="003D3F3F">
              <w:rPr>
                <w:rFonts w:cs="Times New Roman"/>
                <w:szCs w:val="24"/>
              </w:rPr>
              <w:t>R</w:t>
            </w:r>
            <w:r w:rsidR="00BF2199">
              <w:rPr>
                <w:rFonts w:cs="Times New Roman"/>
                <w:szCs w:val="24"/>
              </w:rPr>
              <w:t>emdamie</w:t>
            </w:r>
            <w:r>
              <w:rPr>
                <w:rFonts w:cs="Times New Roman"/>
                <w:szCs w:val="24"/>
              </w:rPr>
              <w:t xml:space="preserve">si </w:t>
            </w:r>
            <w:r w:rsidRPr="003D3F3F">
              <w:rPr>
                <w:rFonts w:cs="Times New Roman"/>
                <w:szCs w:val="24"/>
              </w:rPr>
              <w:t xml:space="preserve"> gerosios praktikos pavyzdžiais</w:t>
            </w:r>
            <w:r>
              <w:rPr>
                <w:rFonts w:cs="Times New Roman"/>
                <w:szCs w:val="24"/>
              </w:rPr>
              <w:t xml:space="preserve"> gebės pritaikyti realiame gyvenime: atpažins gamtoje</w:t>
            </w:r>
            <w:r w:rsidR="00777FB7">
              <w:rPr>
                <w:rFonts w:cs="Times New Roman"/>
                <w:szCs w:val="24"/>
              </w:rPr>
              <w:t xml:space="preserve"> ir buityje</w:t>
            </w:r>
            <w:r>
              <w:rPr>
                <w:rFonts w:cs="Times New Roman"/>
                <w:szCs w:val="24"/>
              </w:rPr>
              <w:t xml:space="preserve"> </w:t>
            </w:r>
            <w:r w:rsidR="00777FB7">
              <w:rPr>
                <w:rFonts w:cs="Times New Roman"/>
                <w:szCs w:val="24"/>
              </w:rPr>
              <w:t>rūgščias ir karčias medžiagas</w:t>
            </w:r>
            <w:r>
              <w:rPr>
                <w:rFonts w:cs="Times New Roman"/>
                <w:szCs w:val="24"/>
              </w:rPr>
              <w:t xml:space="preserve">.  </w:t>
            </w:r>
            <w:r w:rsidRPr="003D3F3F">
              <w:rPr>
                <w:rFonts w:cs="Times New Roman"/>
                <w:szCs w:val="24"/>
              </w:rPr>
              <w:t>Mokiniai</w:t>
            </w:r>
            <w:r>
              <w:rPr>
                <w:rFonts w:cs="Times New Roman"/>
                <w:szCs w:val="24"/>
              </w:rPr>
              <w:t xml:space="preserve">  galės</w:t>
            </w:r>
            <w:r w:rsidRPr="003D3F3F">
              <w:rPr>
                <w:rFonts w:cs="Times New Roman"/>
                <w:szCs w:val="24"/>
              </w:rPr>
              <w:t xml:space="preserve"> patir</w:t>
            </w:r>
            <w:r>
              <w:rPr>
                <w:rFonts w:cs="Times New Roman"/>
                <w:szCs w:val="24"/>
              </w:rPr>
              <w:t>ti pažinimo džiaugsmą, atpažinti ir išmokti</w:t>
            </w:r>
            <w:r w:rsidRPr="003D3F3F">
              <w:rPr>
                <w:rFonts w:cs="Times New Roman"/>
                <w:szCs w:val="24"/>
              </w:rPr>
              <w:t xml:space="preserve"> dalyvauti sprendžiant įvai</w:t>
            </w:r>
            <w:r>
              <w:rPr>
                <w:rFonts w:cs="Times New Roman"/>
                <w:szCs w:val="24"/>
              </w:rPr>
              <w:t xml:space="preserve">rias problemas, susijusias tiek </w:t>
            </w:r>
            <w:r w:rsidRPr="003D3F3F">
              <w:rPr>
                <w:rFonts w:cs="Times New Roman"/>
                <w:szCs w:val="24"/>
              </w:rPr>
              <w:t>su gyvąja, tiek su negyvąja gamta, atsaking</w:t>
            </w:r>
            <w:r>
              <w:rPr>
                <w:rFonts w:cs="Times New Roman"/>
                <w:szCs w:val="24"/>
              </w:rPr>
              <w:t>ai priimti</w:t>
            </w:r>
            <w:r w:rsidR="00BF2199">
              <w:rPr>
                <w:rFonts w:cs="Times New Roman"/>
                <w:szCs w:val="24"/>
              </w:rPr>
              <w:t xml:space="preserve"> sprendimus</w:t>
            </w:r>
            <w:r w:rsidRPr="003D3F3F">
              <w:rPr>
                <w:rFonts w:cs="Times New Roman"/>
                <w:szCs w:val="24"/>
              </w:rPr>
              <w:t xml:space="preserve"> </w:t>
            </w:r>
          </w:p>
        </w:tc>
      </w:tr>
      <w:tr w:rsidR="00487738" w:rsidTr="00AB78DD">
        <w:trPr>
          <w:trHeight w:val="420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Data</w:t>
            </w:r>
          </w:p>
        </w:tc>
        <w:tc>
          <w:tcPr>
            <w:tcW w:w="6089" w:type="dxa"/>
            <w:vAlign w:val="center"/>
          </w:tcPr>
          <w:p w:rsidR="00487738" w:rsidRPr="00965364" w:rsidRDefault="00FC5BF5" w:rsidP="00DE2207">
            <w:pPr>
              <w:rPr>
                <w:szCs w:val="24"/>
              </w:rPr>
            </w:pPr>
            <w:r>
              <w:rPr>
                <w:szCs w:val="24"/>
              </w:rPr>
              <w:t>2024-0</w:t>
            </w:r>
            <w:r w:rsidR="00DE2207">
              <w:rPr>
                <w:szCs w:val="24"/>
              </w:rPr>
              <w:t>3</w:t>
            </w:r>
            <w:r>
              <w:rPr>
                <w:szCs w:val="24"/>
              </w:rPr>
              <w:t>-0</w:t>
            </w:r>
            <w:r w:rsidR="00DE2207">
              <w:rPr>
                <w:szCs w:val="24"/>
              </w:rPr>
              <w:t>8</w:t>
            </w:r>
          </w:p>
        </w:tc>
      </w:tr>
      <w:tr w:rsidR="00487738">
        <w:trPr>
          <w:trHeight w:val="555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487738" w:rsidRPr="00AB78DD" w:rsidRDefault="000728EA" w:rsidP="000728EA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  <w:bookmarkStart w:id="0" w:name="_GoBack"/>
            <w:bookmarkEnd w:id="0"/>
          </w:p>
        </w:tc>
      </w:tr>
      <w:tr w:rsidR="00487738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487738" w:rsidRPr="00AB78DD" w:rsidRDefault="003703DE">
            <w:pPr>
              <w:rPr>
                <w:szCs w:val="24"/>
              </w:rPr>
            </w:pPr>
            <w:r w:rsidRPr="00AB78DD">
              <w:rPr>
                <w:szCs w:val="24"/>
              </w:rPr>
              <w:t>45 min.</w:t>
            </w:r>
          </w:p>
        </w:tc>
      </w:tr>
      <w:tr w:rsidR="00487738" w:rsidTr="00AB78DD">
        <w:trPr>
          <w:trHeight w:val="416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  <w:vAlign w:val="center"/>
          </w:tcPr>
          <w:p w:rsidR="00487738" w:rsidRPr="00AB78DD" w:rsidRDefault="003703DE" w:rsidP="00AB78DD">
            <w:pPr>
              <w:rPr>
                <w:szCs w:val="24"/>
              </w:rPr>
            </w:pPr>
            <w:r w:rsidRPr="00AB78DD">
              <w:rPr>
                <w:szCs w:val="24"/>
              </w:rPr>
              <w:t>Ignalinos Česlovo Kudabos gimnazija</w:t>
            </w:r>
          </w:p>
        </w:tc>
      </w:tr>
      <w:tr w:rsidR="00487738" w:rsidTr="00AB78DD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487738" w:rsidRPr="0045698C" w:rsidRDefault="003703DE" w:rsidP="00AB78DD">
            <w:pPr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</w:tr>
      <w:tr w:rsidR="00487738" w:rsidTr="00AB78DD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487738" w:rsidRPr="009C23CD" w:rsidRDefault="00487738" w:rsidP="00AB78DD">
            <w:pPr>
              <w:rPr>
                <w:szCs w:val="24"/>
              </w:rPr>
            </w:pPr>
          </w:p>
        </w:tc>
      </w:tr>
    </w:tbl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1296"/>
  <w:hyphenationZone w:val="396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728EA"/>
    <w:rsid w:val="00094A6D"/>
    <w:rsid w:val="001359EF"/>
    <w:rsid w:val="00137F1F"/>
    <w:rsid w:val="00280E6F"/>
    <w:rsid w:val="002E29D2"/>
    <w:rsid w:val="0032498B"/>
    <w:rsid w:val="003703DE"/>
    <w:rsid w:val="003B7A24"/>
    <w:rsid w:val="003D02DE"/>
    <w:rsid w:val="003D3F3F"/>
    <w:rsid w:val="004426DC"/>
    <w:rsid w:val="0045698C"/>
    <w:rsid w:val="00487738"/>
    <w:rsid w:val="00500E33"/>
    <w:rsid w:val="005D36CC"/>
    <w:rsid w:val="006B2205"/>
    <w:rsid w:val="006C1F4F"/>
    <w:rsid w:val="006E337C"/>
    <w:rsid w:val="00777FB7"/>
    <w:rsid w:val="007C3FAF"/>
    <w:rsid w:val="00862F2C"/>
    <w:rsid w:val="00924E21"/>
    <w:rsid w:val="00965364"/>
    <w:rsid w:val="009C23CD"/>
    <w:rsid w:val="00A13C6E"/>
    <w:rsid w:val="00A31DB6"/>
    <w:rsid w:val="00A53721"/>
    <w:rsid w:val="00A67818"/>
    <w:rsid w:val="00AB78DD"/>
    <w:rsid w:val="00B40337"/>
    <w:rsid w:val="00B85F2B"/>
    <w:rsid w:val="00BF2199"/>
    <w:rsid w:val="00CF77DF"/>
    <w:rsid w:val="00D03F09"/>
    <w:rsid w:val="00D13147"/>
    <w:rsid w:val="00D90395"/>
    <w:rsid w:val="00DE2207"/>
    <w:rsid w:val="00DF4BA9"/>
    <w:rsid w:val="00E0668A"/>
    <w:rsid w:val="00E62EEC"/>
    <w:rsid w:val="00E6685B"/>
    <w:rsid w:val="00E858E4"/>
    <w:rsid w:val="00E87A8A"/>
    <w:rsid w:val="00ED0B3F"/>
    <w:rsid w:val="00FC5BF5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222655E701754786D35C8A2D9F715A" ma:contentTypeVersion="9" ma:contentTypeDescription="Создание документа." ma:contentTypeScope="" ma:versionID="edc2b6db675eb2b0efc83c1c3e5daf09">
  <xsd:schema xmlns:xsd="http://www.w3.org/2001/XMLSchema" xmlns:xs="http://www.w3.org/2001/XMLSchema" xmlns:p="http://schemas.microsoft.com/office/2006/metadata/properties" xmlns:ns2="a9ea45d7-dd7d-4caa-952b-09803355ddcd" xmlns:ns3="c47cff1e-bda0-4a6f-83a1-96682b02e586" targetNamespace="http://schemas.microsoft.com/office/2006/metadata/properties" ma:root="true" ma:fieldsID="9c8c9b53c8d6427d0cc27ca66ddf0c5f" ns2:_="" ns3:_="">
    <xsd:import namespace="a9ea45d7-dd7d-4caa-952b-09803355ddcd"/>
    <xsd:import namespace="c47cff1e-bda0-4a6f-83a1-96682b02e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a45d7-dd7d-4caa-952b-09803355d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fdec94d-ffed-4b68-b4c7-f339632df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cff1e-bda0-4a6f-83a1-96682b02e5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307363-f171-4681-873a-0ce2035b062c}" ma:internalName="TaxCatchAll" ma:showField="CatchAllData" ma:web="c47cff1e-bda0-4a6f-83a1-96682b02e5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E3B74-3650-479E-909F-4FAD8EFC1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064A8-45EA-4AC8-914E-9403B00A7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a45d7-dd7d-4caa-952b-09803355ddcd"/>
    <ds:schemaRef ds:uri="c47cff1e-bda0-4a6f-83a1-96682b02e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mokytoja</cp:lastModifiedBy>
  <cp:revision>10</cp:revision>
  <dcterms:created xsi:type="dcterms:W3CDTF">2024-03-29T11:44:00Z</dcterms:created>
  <dcterms:modified xsi:type="dcterms:W3CDTF">2024-04-09T11:07:00Z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