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5E7816" w:rsidRDefault="003D3F3F" w:rsidP="003703DE">
            <w:pPr>
              <w:jc w:val="both"/>
              <w:rPr>
                <w:b/>
                <w:szCs w:val="24"/>
              </w:rPr>
            </w:pPr>
            <w:r w:rsidRPr="005E7816">
              <w:rPr>
                <w:b/>
                <w:szCs w:val="24"/>
              </w:rPr>
              <w:t>Lietuvių kalba ir literatūra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426DC" w:rsidRDefault="005D36CC" w:rsidP="006C1F4F">
            <w:pPr>
              <w:jc w:val="both"/>
              <w:rPr>
                <w:rFonts w:cs="Times New Roman"/>
                <w:szCs w:val="24"/>
              </w:rPr>
            </w:pPr>
            <w:r w:rsidRPr="005D36CC">
              <w:rPr>
                <w:rFonts w:cs="Times New Roman"/>
                <w:szCs w:val="24"/>
              </w:rPr>
              <w:t>Žmogaus santykis su gamta. Skambantys garsai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Default="003D3F3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AB78D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</w:t>
            </w:r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Pažinimo</w:t>
            </w:r>
            <w:r>
              <w:rPr>
                <w:bCs/>
                <w:szCs w:val="24"/>
              </w:rPr>
              <w:t xml:space="preserve"> – mąstys apie žmogaus ir gamtos santykį, </w:t>
            </w:r>
            <w:r w:rsidRPr="003D3F3F">
              <w:rPr>
                <w:bCs/>
                <w:szCs w:val="24"/>
              </w:rPr>
              <w:t>modeliuos realaus gyvenimo situacijas, kurios, skatina ieškoti naujų metodų sprendžiant probleminius klausimus.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i/>
                <w:szCs w:val="24"/>
              </w:rPr>
              <w:t>Kultūrinę –</w:t>
            </w:r>
            <w:r w:rsidRPr="003D3F3F">
              <w:rPr>
                <w:bCs/>
                <w:szCs w:val="24"/>
              </w:rPr>
              <w:t xml:space="preserve"> aptars sudėtingesnius kultūros reiškinius, vertybes, idėjas, įsitikinimus, požiūrius ir elgsena</w:t>
            </w:r>
            <w:bookmarkStart w:id="0" w:name="_GoBack"/>
            <w:bookmarkEnd w:id="0"/>
            <w:r w:rsidRPr="003D3F3F">
              <w:rPr>
                <w:bCs/>
                <w:szCs w:val="24"/>
              </w:rPr>
              <w:t xml:space="preserve">s, ženklus, simbolius. 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Kūrybiškumo</w:t>
            </w:r>
            <w:r>
              <w:rPr>
                <w:bCs/>
                <w:szCs w:val="24"/>
              </w:rPr>
              <w:t xml:space="preserve"> –</w:t>
            </w:r>
            <w:r w:rsidRPr="003D3F3F">
              <w:rPr>
                <w:bCs/>
                <w:szCs w:val="24"/>
              </w:rPr>
              <w:t xml:space="preserve"> savarankiškai žodžiu ir raštu kurs įvairių žanrų ir tipų tekstus, taikys pagrindines akademinio ir kūrybinio rašymo strategijas.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Pilietiškumo</w:t>
            </w:r>
            <w:r>
              <w:rPr>
                <w:bCs/>
                <w:szCs w:val="24"/>
              </w:rPr>
              <w:t xml:space="preserve"> –</w:t>
            </w:r>
            <w:r w:rsidRPr="003D3F3F">
              <w:rPr>
                <w:bCs/>
                <w:szCs w:val="24"/>
              </w:rPr>
              <w:t xml:space="preserve"> atpažins gamtos ir žmogaus kovos pasekmes, suvoks ir paaiškins, kodėl ši kova neišvengiam</w:t>
            </w:r>
            <w:r w:rsidR="00FC5BF5">
              <w:rPr>
                <w:bCs/>
                <w:szCs w:val="24"/>
              </w:rPr>
              <w:t xml:space="preserve">a, bet ir pavojinga žmonijai. </w:t>
            </w:r>
            <w:r w:rsidRPr="003D3F3F">
              <w:rPr>
                <w:bCs/>
                <w:szCs w:val="24"/>
              </w:rPr>
              <w:t>Suvoks asmeninę, kaip piliečio, atsakomybę kuriant tvarią ekologinę aplinką.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Socialinė, emocinė ir sveikos gyvensenos</w:t>
            </w:r>
            <w:r>
              <w:rPr>
                <w:bCs/>
                <w:szCs w:val="24"/>
              </w:rPr>
              <w:t xml:space="preserve"> –</w:t>
            </w:r>
            <w:r w:rsidRPr="003D3F3F">
              <w:rPr>
                <w:bCs/>
                <w:szCs w:val="24"/>
              </w:rPr>
              <w:t xml:space="preserve"> vadovausis bendražmogiškosiomis vertybėmis, suvoks, kaip sudėtingose situacijose vertybės padeda rasti sprendimus.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Komunikavimo</w:t>
            </w:r>
            <w:r>
              <w:rPr>
                <w:bCs/>
                <w:szCs w:val="24"/>
              </w:rPr>
              <w:t xml:space="preserve"> – </w:t>
            </w:r>
            <w:r w:rsidRPr="003D3F3F">
              <w:rPr>
                <w:bCs/>
                <w:szCs w:val="24"/>
              </w:rPr>
              <w:t xml:space="preserve"> komunikuodamas atskleis savo asmenybę, išreikš save remdamasis gerosios praktikos pavyzdžiais.</w:t>
            </w:r>
          </w:p>
          <w:p w:rsidR="00487738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szCs w:val="24"/>
              </w:rPr>
              <w:t>Skaitmeninė: ieškos duomenų ir informacijos naudodamasis paprasta paieška skaitmeninėje aplinkoje.</w:t>
            </w:r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E87A8A" w:rsidRDefault="003D3F3F" w:rsidP="003703DE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Skaitydami ir analizuodami</w:t>
            </w:r>
            <w:r w:rsidRPr="003D3F3F">
              <w:rPr>
                <w:rFonts w:cs="Times New Roman"/>
                <w:bCs/>
                <w:szCs w:val="24"/>
              </w:rPr>
              <w:t xml:space="preserve"> A. Bara</w:t>
            </w:r>
            <w:r>
              <w:rPr>
                <w:rFonts w:cs="Times New Roman"/>
                <w:bCs/>
                <w:szCs w:val="24"/>
              </w:rPr>
              <w:t xml:space="preserve">nausko poemą „Anykščių šilelis“ paaiškins, kuo poema svarbi </w:t>
            </w:r>
            <w:r w:rsidRPr="003D3F3F">
              <w:rPr>
                <w:rFonts w:cs="Times New Roman"/>
                <w:bCs/>
                <w:szCs w:val="24"/>
              </w:rPr>
              <w:t xml:space="preserve">Lietuvos kultūrinėse bei visuomeninėse veiklose, </w:t>
            </w:r>
            <w:r>
              <w:rPr>
                <w:rFonts w:cs="Times New Roman"/>
                <w:bCs/>
                <w:szCs w:val="24"/>
              </w:rPr>
              <w:t>atpažins</w:t>
            </w:r>
            <w:r w:rsidRPr="003D3F3F">
              <w:rPr>
                <w:rFonts w:cs="Times New Roman"/>
                <w:bCs/>
                <w:szCs w:val="24"/>
              </w:rPr>
              <w:t xml:space="preserve"> įvairias meninės raiškos</w:t>
            </w:r>
            <w:r>
              <w:rPr>
                <w:rFonts w:cs="Times New Roman"/>
                <w:bCs/>
                <w:szCs w:val="24"/>
              </w:rPr>
              <w:t xml:space="preserve"> priemones, išreikš</w:t>
            </w:r>
            <w:r w:rsidRPr="003D3F3F">
              <w:rPr>
                <w:rFonts w:cs="Times New Roman"/>
                <w:bCs/>
                <w:szCs w:val="24"/>
              </w:rPr>
              <w:t xml:space="preserve"> savo interpretacinį santykį su menu, kultūra, literatūra</w:t>
            </w:r>
            <w:r>
              <w:rPr>
                <w:rFonts w:cs="Times New Roman"/>
                <w:bCs/>
                <w:szCs w:val="24"/>
              </w:rPr>
              <w:t>, gamtos mokslais.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487738" w:rsidRDefault="003D3F3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Pakartos gamtos</w:t>
            </w:r>
            <w:r w:rsidRPr="003D3F3F">
              <w:rPr>
                <w:bCs/>
                <w:szCs w:val="24"/>
              </w:rPr>
              <w:t xml:space="preserve"> ciklą, galimus </w:t>
            </w:r>
            <w:r>
              <w:rPr>
                <w:bCs/>
                <w:szCs w:val="24"/>
              </w:rPr>
              <w:t>gamtinius reiškinius, atkreips dėmesį</w:t>
            </w:r>
            <w:r w:rsidRPr="003D3F3F">
              <w:rPr>
                <w:bCs/>
                <w:szCs w:val="24"/>
              </w:rPr>
              <w:t xml:space="preserve"> į</w:t>
            </w:r>
            <w:r>
              <w:rPr>
                <w:bCs/>
                <w:szCs w:val="24"/>
              </w:rPr>
              <w:t xml:space="preserve"> kalbos ir rašto kultūrą, mokysis</w:t>
            </w:r>
            <w:r w:rsidRPr="003D3F3F">
              <w:rPr>
                <w:bCs/>
                <w:szCs w:val="24"/>
              </w:rPr>
              <w:t xml:space="preserve"> taisyklingai vartoti mokslinius terminus ir sąvokas, diskutuoti ir pagrįsti savo nuomonę</w:t>
            </w:r>
            <w:r>
              <w:rPr>
                <w:bCs/>
                <w:szCs w:val="24"/>
              </w:rPr>
              <w:t>.</w:t>
            </w:r>
          </w:p>
          <w:p w:rsidR="003D3F3F" w:rsidRDefault="003D3F3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Remdamiesi skaitytais tekstais –  augalų, gyvūnų ir </w:t>
            </w:r>
            <w:r w:rsidRPr="003D3F3F">
              <w:rPr>
                <w:bCs/>
                <w:szCs w:val="24"/>
              </w:rPr>
              <w:t xml:space="preserve">žmogaus pavyzdžiais, paaiškinti organizmų gyvybinę veiklą: medžiagų ir energijos apykaitą, gyvybinių procesų reguliavimą, judėjimą, dauginimąsi. </w:t>
            </w:r>
            <w:r w:rsidR="00137F1F" w:rsidRPr="00137F1F">
              <w:rPr>
                <w:bCs/>
                <w:szCs w:val="24"/>
              </w:rPr>
              <w:t>Įgys  žinių apie gamtos garsų atsiradimą, šviesos ir garso suvokimą, pagarbą gyvajai ir negyvajai gamtai bei jos įvairovei, pasekmes sau ir aplinkai.</w:t>
            </w:r>
          </w:p>
          <w:p w:rsidR="003D3F3F" w:rsidRDefault="003D3F3F" w:rsidP="003703DE">
            <w:pPr>
              <w:jc w:val="both"/>
              <w:rPr>
                <w:bCs/>
                <w:szCs w:val="24"/>
              </w:rPr>
            </w:pP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:rsidR="00487738" w:rsidRDefault="00137F1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Dabas  kompiuteriu, pristatymo</w:t>
            </w:r>
            <w:r w:rsidR="00FC5BF5">
              <w:rPr>
                <w:bCs/>
                <w:szCs w:val="24"/>
              </w:rPr>
              <w:t xml:space="preserve"> rengimas, informacijos paieška internete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FC5BF5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Miško garsų paieška </w:t>
            </w:r>
            <w:proofErr w:type="spellStart"/>
            <w:r>
              <w:rPr>
                <w:bCs/>
                <w:szCs w:val="24"/>
              </w:rPr>
              <w:t>youtub</w:t>
            </w:r>
            <w:proofErr w:type="spellEnd"/>
            <w:r>
              <w:rPr>
                <w:bCs/>
                <w:szCs w:val="24"/>
              </w:rPr>
              <w:t xml:space="preserve"> kanale ir </w:t>
            </w:r>
            <w:proofErr w:type="spellStart"/>
            <w:r>
              <w:rPr>
                <w:bCs/>
                <w:szCs w:val="24"/>
              </w:rPr>
              <w:t>video</w:t>
            </w:r>
            <w:proofErr w:type="spellEnd"/>
            <w:r>
              <w:rPr>
                <w:bCs/>
                <w:szCs w:val="24"/>
              </w:rPr>
              <w:t xml:space="preserve">  klipuko kūrimas</w:t>
            </w:r>
            <w:r w:rsidR="009E4953">
              <w:rPr>
                <w:bCs/>
                <w:szCs w:val="24"/>
              </w:rPr>
              <w:t>.</w:t>
            </w: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3703DE" w:rsidRPr="003703DE" w:rsidRDefault="003703DE" w:rsidP="003703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Remdamiesi tekstais nusakys m</w:t>
            </w:r>
            <w:r w:rsidR="00FC5BF5">
              <w:rPr>
                <w:szCs w:val="24"/>
              </w:rPr>
              <w:t>uzikinei</w:t>
            </w:r>
            <w:r>
              <w:rPr>
                <w:szCs w:val="24"/>
              </w:rPr>
              <w:t xml:space="preserve"> kalbai būdingus bendrus raiškos elementus: ritmą, tempą</w:t>
            </w:r>
            <w:r w:rsidR="00137F1F">
              <w:rPr>
                <w:szCs w:val="24"/>
              </w:rPr>
              <w:t xml:space="preserve">, </w:t>
            </w:r>
            <w:r>
              <w:rPr>
                <w:szCs w:val="24"/>
              </w:rPr>
              <w:t>dinamiką</w:t>
            </w:r>
            <w:r w:rsidRPr="003703DE">
              <w:rPr>
                <w:szCs w:val="24"/>
              </w:rPr>
              <w:t xml:space="preserve">, </w:t>
            </w:r>
            <w:r w:rsidR="00137F1F">
              <w:rPr>
                <w:szCs w:val="24"/>
              </w:rPr>
              <w:t xml:space="preserve">tembrą, </w:t>
            </w:r>
            <w:r>
              <w:rPr>
                <w:szCs w:val="24"/>
              </w:rPr>
              <w:t>kompoziciją, erdvę, laiką</w:t>
            </w:r>
            <w:r w:rsidR="00137F1F">
              <w:rPr>
                <w:szCs w:val="24"/>
              </w:rPr>
              <w:t xml:space="preserve"> ir kt.</w:t>
            </w:r>
          </w:p>
          <w:p w:rsidR="00487738" w:rsidRPr="0045698C" w:rsidRDefault="003703DE" w:rsidP="00137F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37F1F">
              <w:rPr>
                <w:szCs w:val="24"/>
              </w:rPr>
              <w:t xml:space="preserve">Kūrinį </w:t>
            </w:r>
            <w:r>
              <w:rPr>
                <w:szCs w:val="24"/>
              </w:rPr>
              <w:t>sies su</w:t>
            </w:r>
            <w:r w:rsidRPr="003703DE">
              <w:rPr>
                <w:szCs w:val="24"/>
              </w:rPr>
              <w:t xml:space="preserve"> bendros kultūros, istorijos, meno </w:t>
            </w:r>
            <w:r>
              <w:rPr>
                <w:szCs w:val="24"/>
              </w:rPr>
              <w:t>teorijos, estetikos ir kritikos žiniomis</w:t>
            </w:r>
            <w:r w:rsidRPr="003703DE">
              <w:rPr>
                <w:szCs w:val="24"/>
              </w:rPr>
              <w:t>, terminai</w:t>
            </w:r>
            <w:r>
              <w:rPr>
                <w:szCs w:val="24"/>
              </w:rPr>
              <w:t>s sąvokomis.</w:t>
            </w:r>
            <w:r w:rsidRPr="003703DE">
              <w:rPr>
                <w:szCs w:val="24"/>
              </w:rPr>
              <w:t xml:space="preserve"> 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984877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:rsidR="00487738" w:rsidRPr="0045698C" w:rsidRDefault="00FC5BF5" w:rsidP="00FC5B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Garsų, paukščių, augalijos grafinės tvarkyklės sudarymas</w:t>
            </w:r>
            <w:r w:rsidR="002E29D2">
              <w:rPr>
                <w:szCs w:val="24"/>
              </w:rPr>
              <w:t xml:space="preserve"> (</w:t>
            </w:r>
            <w:proofErr w:type="spellStart"/>
            <w:r w:rsidR="002E29D2">
              <w:rPr>
                <w:szCs w:val="24"/>
              </w:rPr>
              <w:t>excel</w:t>
            </w:r>
            <w:proofErr w:type="spellEnd"/>
            <w:r w:rsidR="002E29D2">
              <w:rPr>
                <w:szCs w:val="24"/>
              </w:rPr>
              <w:t xml:space="preserve"> programa)</w:t>
            </w:r>
            <w:r w:rsidR="009E4953">
              <w:rPr>
                <w:szCs w:val="24"/>
              </w:rPr>
              <w:t>.</w:t>
            </w:r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3D3F3F" w:rsidP="003703DE">
            <w:pPr>
              <w:jc w:val="both"/>
              <w:rPr>
                <w:rFonts w:cs="Times New Roman"/>
                <w:szCs w:val="24"/>
              </w:rPr>
            </w:pPr>
            <w:r w:rsidRPr="003D3F3F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 xml:space="preserve">emdamasi </w:t>
            </w:r>
            <w:r w:rsidRPr="003D3F3F">
              <w:rPr>
                <w:rFonts w:cs="Times New Roman"/>
                <w:szCs w:val="24"/>
              </w:rPr>
              <w:t xml:space="preserve"> gerosios praktikos pavyzdžiais</w:t>
            </w:r>
            <w:r>
              <w:rPr>
                <w:rFonts w:cs="Times New Roman"/>
                <w:szCs w:val="24"/>
              </w:rPr>
              <w:t xml:space="preserve"> gebės pritaikyti realiame gyvenime: rašydami rašinį, atpažins gamtoje tam tikrus garsus, žolynus, medžius, pojūčius.  </w:t>
            </w:r>
            <w:r w:rsidRPr="003D3F3F">
              <w:rPr>
                <w:rFonts w:cs="Times New Roman"/>
                <w:szCs w:val="24"/>
              </w:rPr>
              <w:t>Mokiniai</w:t>
            </w:r>
            <w:r>
              <w:rPr>
                <w:rFonts w:cs="Times New Roman"/>
                <w:szCs w:val="24"/>
              </w:rPr>
              <w:t xml:space="preserve">  patys galės</w:t>
            </w:r>
            <w:r w:rsidRPr="003D3F3F">
              <w:rPr>
                <w:rFonts w:cs="Times New Roman"/>
                <w:szCs w:val="24"/>
              </w:rPr>
              <w:t xml:space="preserve"> atrasti ir patir</w:t>
            </w:r>
            <w:r>
              <w:rPr>
                <w:rFonts w:cs="Times New Roman"/>
                <w:szCs w:val="24"/>
              </w:rPr>
              <w:t>ti pažinimo džiaugsmą, atpažinti ir išmokti</w:t>
            </w:r>
            <w:r w:rsidRPr="003D3F3F">
              <w:rPr>
                <w:rFonts w:cs="Times New Roman"/>
                <w:szCs w:val="24"/>
              </w:rPr>
              <w:t xml:space="preserve"> dalyvauti sprendžiant įvai</w:t>
            </w:r>
            <w:r>
              <w:rPr>
                <w:rFonts w:cs="Times New Roman"/>
                <w:szCs w:val="24"/>
              </w:rPr>
              <w:t xml:space="preserve">rias problemas, susijusias tiek </w:t>
            </w:r>
            <w:r w:rsidRPr="003D3F3F">
              <w:rPr>
                <w:rFonts w:cs="Times New Roman"/>
                <w:szCs w:val="24"/>
              </w:rPr>
              <w:t>su gyvąja, tiek su negyvąja gamta, atsaking</w:t>
            </w:r>
            <w:r>
              <w:rPr>
                <w:rFonts w:cs="Times New Roman"/>
                <w:szCs w:val="24"/>
              </w:rPr>
              <w:t>ai priimti</w:t>
            </w:r>
            <w:r w:rsidRPr="003D3F3F">
              <w:rPr>
                <w:rFonts w:cs="Times New Roman"/>
                <w:szCs w:val="24"/>
              </w:rPr>
              <w:t xml:space="preserve"> sprendimus, gebėtų dirbti kolektyve.</w:t>
            </w:r>
          </w:p>
        </w:tc>
      </w:tr>
      <w:tr w:rsidR="00487738" w:rsidTr="00AB78DD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965364" w:rsidRDefault="00FC5BF5" w:rsidP="00AB78DD">
            <w:pPr>
              <w:rPr>
                <w:szCs w:val="24"/>
              </w:rPr>
            </w:pPr>
            <w:r>
              <w:rPr>
                <w:szCs w:val="24"/>
              </w:rPr>
              <w:t>2024-02-07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Pr="00AB78DD" w:rsidRDefault="003703DE">
            <w:pPr>
              <w:rPr>
                <w:szCs w:val="24"/>
              </w:rPr>
            </w:pPr>
            <w:r w:rsidRPr="00AB78DD">
              <w:rPr>
                <w:szCs w:val="24"/>
              </w:rPr>
              <w:t>Klasė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Pr="00AB78DD" w:rsidRDefault="003703DE">
            <w:pPr>
              <w:rPr>
                <w:szCs w:val="24"/>
              </w:rPr>
            </w:pPr>
            <w:r w:rsidRPr="00AB78DD">
              <w:rPr>
                <w:szCs w:val="24"/>
              </w:rPr>
              <w:t>45 min.</w:t>
            </w:r>
          </w:p>
        </w:tc>
      </w:tr>
      <w:tr w:rsidR="00487738" w:rsidTr="00AB78DD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AB78DD" w:rsidRDefault="003703DE" w:rsidP="00AB78DD">
            <w:pPr>
              <w:rPr>
                <w:szCs w:val="24"/>
              </w:rPr>
            </w:pPr>
            <w:r w:rsidRPr="00AB78DD">
              <w:rPr>
                <w:szCs w:val="24"/>
              </w:rPr>
              <w:t>Ignalinos Česlovo Kudabos gimnazija</w:t>
            </w:r>
          </w:p>
        </w:tc>
      </w:tr>
      <w:tr w:rsidR="00487738" w:rsidTr="00AB78DD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3703DE" w:rsidP="00AB78DD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487738" w:rsidTr="00AB78DD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9C23CD" w:rsidRDefault="00487738" w:rsidP="00AB78DD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137F1F"/>
    <w:rsid w:val="00280E6F"/>
    <w:rsid w:val="002E29D2"/>
    <w:rsid w:val="0032498B"/>
    <w:rsid w:val="003703DE"/>
    <w:rsid w:val="003B7A24"/>
    <w:rsid w:val="003D02DE"/>
    <w:rsid w:val="003D3F3F"/>
    <w:rsid w:val="004426DC"/>
    <w:rsid w:val="0045698C"/>
    <w:rsid w:val="00487738"/>
    <w:rsid w:val="00500E33"/>
    <w:rsid w:val="005D36CC"/>
    <w:rsid w:val="005E7816"/>
    <w:rsid w:val="006B2205"/>
    <w:rsid w:val="006C1F4F"/>
    <w:rsid w:val="006E337C"/>
    <w:rsid w:val="007C3FAF"/>
    <w:rsid w:val="00862F2C"/>
    <w:rsid w:val="00924E21"/>
    <w:rsid w:val="00965364"/>
    <w:rsid w:val="00984877"/>
    <w:rsid w:val="009C23CD"/>
    <w:rsid w:val="009E4953"/>
    <w:rsid w:val="00A13C6E"/>
    <w:rsid w:val="00A31DB6"/>
    <w:rsid w:val="00A53721"/>
    <w:rsid w:val="00A67818"/>
    <w:rsid w:val="00A94AA6"/>
    <w:rsid w:val="00AB78DD"/>
    <w:rsid w:val="00B40337"/>
    <w:rsid w:val="00B85F2B"/>
    <w:rsid w:val="00CF77DF"/>
    <w:rsid w:val="00D03F09"/>
    <w:rsid w:val="00D13147"/>
    <w:rsid w:val="00D90395"/>
    <w:rsid w:val="00DF4BA9"/>
    <w:rsid w:val="00E0668A"/>
    <w:rsid w:val="00E6685B"/>
    <w:rsid w:val="00E858E4"/>
    <w:rsid w:val="00E87A8A"/>
    <w:rsid w:val="00FC5BF5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EDE16-1D30-478C-BD4F-BF71418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222655E701754786D35C8A2D9F715A" ma:contentTypeVersion="9" ma:contentTypeDescription="Создание документа." ma:contentTypeScope="" ma:versionID="edc2b6db675eb2b0efc83c1c3e5daf09">
  <xsd:schema xmlns:xsd="http://www.w3.org/2001/XMLSchema" xmlns:xs="http://www.w3.org/2001/XMLSchema" xmlns:p="http://schemas.microsoft.com/office/2006/metadata/properties" xmlns:ns2="a9ea45d7-dd7d-4caa-952b-09803355ddcd" xmlns:ns3="c47cff1e-bda0-4a6f-83a1-96682b02e586" targetNamespace="http://schemas.microsoft.com/office/2006/metadata/properties" ma:root="true" ma:fieldsID="9c8c9b53c8d6427d0cc27ca66ddf0c5f" ns2:_="" ns3:_="">
    <xsd:import namespace="a9ea45d7-dd7d-4caa-952b-09803355ddcd"/>
    <xsd:import namespace="c47cff1e-bda0-4a6f-83a1-96682b02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45d7-dd7d-4caa-952b-09803355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ff1e-bda0-4a6f-83a1-96682b02e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07363-f171-4681-873a-0ce2035b062c}" ma:internalName="TaxCatchAll" ma:showField="CatchAllData" ma:web="c47cff1e-bda0-4a6f-83a1-96682b02e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E3B74-3650-479E-909F-4FAD8EFC1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64A8-45EA-4AC8-914E-9403B00A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a45d7-dd7d-4caa-952b-09803355ddcd"/>
    <ds:schemaRef ds:uri="c47cff1e-bda0-4a6f-83a1-96682b02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6</cp:revision>
  <dcterms:created xsi:type="dcterms:W3CDTF">2024-02-28T11:43:00Z</dcterms:created>
  <dcterms:modified xsi:type="dcterms:W3CDTF">2024-03-06T05:58:00Z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