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B1A" w14:textId="7FCEE8D1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1C0633">
        <w:rPr>
          <w:b/>
          <w:bCs/>
          <w:szCs w:val="24"/>
        </w:rPr>
        <w:t>AS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080B6F0B" w:rsidR="00C14D11" w:rsidRPr="004E4860" w:rsidRDefault="00FD5412" w:rsidP="00B7222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fizika</w:t>
            </w:r>
          </w:p>
        </w:tc>
      </w:tr>
      <w:tr w:rsidR="00704556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704556" w:rsidRPr="007C3FAF" w:rsidRDefault="00704556" w:rsidP="0070455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0E0296D7" w:rsidR="00704556" w:rsidRPr="003804F2" w:rsidRDefault="00883CA6" w:rsidP="00704556">
            <w:pPr>
              <w:rPr>
                <w:i/>
                <w:szCs w:val="24"/>
              </w:rPr>
            </w:pPr>
            <w:r w:rsidRPr="003804F2">
              <w:rPr>
                <w:rFonts w:cs="Arial"/>
                <w:bCs/>
                <w:i/>
                <w:iCs/>
                <w:szCs w:val="28"/>
              </w:rPr>
              <w:t>Garso savybės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76423D28" w:rsidR="00C14D11" w:rsidRPr="003804F2" w:rsidRDefault="00883CA6" w:rsidP="00B7222B">
            <w:pPr>
              <w:rPr>
                <w:i/>
                <w:szCs w:val="24"/>
              </w:rPr>
            </w:pPr>
            <w:r w:rsidRPr="003804F2">
              <w:rPr>
                <w:i/>
                <w:szCs w:val="24"/>
              </w:rPr>
              <w:t>7</w:t>
            </w:r>
          </w:p>
        </w:tc>
      </w:tr>
      <w:tr w:rsidR="00704556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704556" w:rsidRPr="007C3FAF" w:rsidRDefault="00704556" w:rsidP="00704556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704556" w:rsidRPr="007C3FAF" w:rsidRDefault="00704556" w:rsidP="00704556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3E6CC2F3" w14:textId="0F0A556D" w:rsidR="00D70C78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Pažinimo kompetencija – </w:t>
            </w:r>
            <w:r w:rsidRPr="00611CCB">
              <w:rPr>
                <w:rFonts w:cs="Times New Roman"/>
                <w:szCs w:val="24"/>
              </w:rPr>
              <w:t xml:space="preserve">Tinkamai vartoja gamtamokslines sąvokas, terminus, simbolius, formules, matavimo vienetus. </w:t>
            </w:r>
            <w:r w:rsidR="00FD5412" w:rsidRPr="00611CCB">
              <w:rPr>
                <w:rFonts w:cs="Times New Roman"/>
                <w:szCs w:val="24"/>
              </w:rPr>
              <w:t>Tikslingai taiko turimas fizikos žinias įvairiose situacijose, aiškindamasis procesus ir reiškinius, sieja skirtingų mokslų žinias į visumą</w:t>
            </w:r>
            <w:r w:rsidR="00D70C78" w:rsidRPr="00611CCB">
              <w:rPr>
                <w:rFonts w:cs="Times New Roman"/>
                <w:szCs w:val="24"/>
              </w:rPr>
              <w:t xml:space="preserve">. </w:t>
            </w:r>
          </w:p>
          <w:p w14:paraId="22471778" w14:textId="1B43150C" w:rsidR="00D70C78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Komunikavimo kompetencija – </w:t>
            </w:r>
            <w:r w:rsidR="00FD5412" w:rsidRPr="00611CCB">
              <w:rPr>
                <w:rFonts w:cs="Times New Roman"/>
                <w:szCs w:val="24"/>
              </w:rPr>
              <w:t>Atpažįsta fizikos mokslo objektus ir reiškinius, juos apibūdina</w:t>
            </w:r>
            <w:r w:rsidR="00D70C78" w:rsidRPr="00611CCB">
              <w:rPr>
                <w:rFonts w:cs="Times New Roman"/>
                <w:szCs w:val="24"/>
              </w:rPr>
              <w:t xml:space="preserve">. </w:t>
            </w:r>
          </w:p>
          <w:p w14:paraId="0AE69885" w14:textId="0198B68D" w:rsidR="00704556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Skaitmeninė kompetencija – </w:t>
            </w:r>
            <w:r w:rsidR="00FD5412" w:rsidRPr="00611CCB">
              <w:rPr>
                <w:rFonts w:cs="Times New Roman"/>
                <w:szCs w:val="24"/>
              </w:rPr>
              <w:t>Atsirenka reikiamą įvairiais būdais pateiktą informaciją iš skirtingų šaltinių, lygina, kritiškai vertina, klasifikuoja, apibendrina, interpretuoja, jungia skirtingų šaltinių informaciją</w:t>
            </w:r>
            <w:r w:rsidR="00D70C78" w:rsidRPr="00611CCB">
              <w:rPr>
                <w:rFonts w:cs="Times New Roman"/>
                <w:szCs w:val="24"/>
              </w:rPr>
              <w:t>.</w:t>
            </w:r>
            <w:r w:rsidR="00FD5412" w:rsidRPr="00611CCB">
              <w:rPr>
                <w:rFonts w:cs="Times New Roman"/>
                <w:szCs w:val="24"/>
              </w:rPr>
              <w:t xml:space="preserve"> Analizuoja gautus rezultatus ir duomenis: įvertina jų patikimumą, atrenka reikiamus išvadai daryti, atlieka reikalingus skaičiavimus ir pertvarkymus, pateikia tinkamais būdais.</w:t>
            </w:r>
          </w:p>
          <w:p w14:paraId="06392F81" w14:textId="5884B07B" w:rsidR="00704556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Kultūrinė kompetencija – </w:t>
            </w:r>
            <w:r w:rsidR="00FD5412" w:rsidRPr="00611CCB">
              <w:rPr>
                <w:rFonts w:cs="Times New Roman"/>
                <w:szCs w:val="24"/>
              </w:rPr>
              <w:t>Tikslingai taiko turimas fizikos žinias įvairiose situacijose, aiškindamasis procesus ir reiškinius, sieja skirtingų mokslų žinias į visumą</w:t>
            </w:r>
            <w:r w:rsidR="00D70C78" w:rsidRPr="00611CCB">
              <w:rPr>
                <w:rFonts w:cs="Times New Roman"/>
                <w:szCs w:val="24"/>
              </w:rPr>
              <w:t>.</w:t>
            </w:r>
          </w:p>
          <w:p w14:paraId="7C3175B9" w14:textId="09CB752B" w:rsidR="00704556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Kūrybiškumo kompetencija – </w:t>
            </w:r>
            <w:r w:rsidR="00611CCB" w:rsidRPr="00611CCB">
              <w:rPr>
                <w:rFonts w:cs="Times New Roman"/>
                <w:szCs w:val="24"/>
              </w:rPr>
              <w:t>Formuluoja klausimus, argumentais grindžia savo atsakymus</w:t>
            </w:r>
            <w:r w:rsidR="00D70C78" w:rsidRPr="00611CCB">
              <w:rPr>
                <w:rFonts w:cs="Times New Roman"/>
                <w:szCs w:val="24"/>
              </w:rPr>
              <w:t xml:space="preserve">. </w:t>
            </w:r>
          </w:p>
          <w:p w14:paraId="343C3AAE" w14:textId="00543A33" w:rsidR="00704556" w:rsidRPr="00611CCB" w:rsidRDefault="00704556" w:rsidP="00704556">
            <w:pPr>
              <w:rPr>
                <w:rFonts w:cs="Times New Roman"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Pilietiškumo kompetencija – </w:t>
            </w:r>
            <w:r w:rsidR="00D70C78" w:rsidRPr="00611CCB">
              <w:rPr>
                <w:rFonts w:cs="Times New Roman"/>
                <w:szCs w:val="24"/>
              </w:rPr>
              <w:t>Skiria objektyvią informaciją nuo subjektyvios (nuomonės), pasirenka patikimus informacijos šaltinius.</w:t>
            </w:r>
          </w:p>
          <w:p w14:paraId="692EE13C" w14:textId="363E1C2F" w:rsidR="00704556" w:rsidRPr="00611CCB" w:rsidRDefault="00704556" w:rsidP="00704556">
            <w:pPr>
              <w:rPr>
                <w:rFonts w:cs="Times New Roman"/>
                <w:i/>
                <w:szCs w:val="24"/>
              </w:rPr>
            </w:pPr>
            <w:r w:rsidRPr="00611CCB">
              <w:rPr>
                <w:rFonts w:cs="Times New Roman"/>
                <w:i/>
                <w:szCs w:val="24"/>
              </w:rPr>
              <w:t xml:space="preserve">Socialinė, emocinė ir sveikos gyvensenos kompetencija – </w:t>
            </w:r>
            <w:r w:rsidRPr="00611CCB">
              <w:rPr>
                <w:rFonts w:cs="Times New Roman"/>
                <w:szCs w:val="24"/>
              </w:rPr>
              <w:t xml:space="preserve"> </w:t>
            </w:r>
            <w:r w:rsidR="00D70C78" w:rsidRPr="00611CCB">
              <w:rPr>
                <w:rFonts w:cs="Times New Roman"/>
                <w:szCs w:val="24"/>
              </w:rPr>
              <w:t xml:space="preserve">Reflektuoja asmeninę pažangą mokantis </w:t>
            </w:r>
            <w:r w:rsidR="00611CCB" w:rsidRPr="00611CCB">
              <w:rPr>
                <w:rFonts w:cs="Times New Roman"/>
                <w:szCs w:val="24"/>
              </w:rPr>
              <w:t>fizikos</w:t>
            </w:r>
            <w:r w:rsidR="00D70C78" w:rsidRPr="00611CCB">
              <w:rPr>
                <w:rFonts w:cs="Times New Roman"/>
                <w:szCs w:val="24"/>
              </w:rPr>
              <w:t>, įvardija asmenines stiprybes ir tobulintinas sritis, jas apmąsto, kelia tolesnius mokymo(</w:t>
            </w:r>
            <w:proofErr w:type="spellStart"/>
            <w:r w:rsidR="00D70C78" w:rsidRPr="00611CCB">
              <w:rPr>
                <w:rFonts w:cs="Times New Roman"/>
                <w:szCs w:val="24"/>
              </w:rPr>
              <w:t>si</w:t>
            </w:r>
            <w:proofErr w:type="spellEnd"/>
            <w:r w:rsidR="00D70C78" w:rsidRPr="00611CCB">
              <w:rPr>
                <w:rFonts w:cs="Times New Roman"/>
                <w:szCs w:val="24"/>
              </w:rPr>
              <w:t>) tikslus.</w:t>
            </w:r>
          </w:p>
        </w:tc>
      </w:tr>
      <w:tr w:rsidR="00093FFF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093FFF" w:rsidRPr="007C3FAF" w:rsidRDefault="00093FFF" w:rsidP="00093FFF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566D3463" w14:textId="29825B1D" w:rsidR="00093FFF" w:rsidRPr="003804F2" w:rsidRDefault="00883CA6" w:rsidP="00093FFF">
            <w:pPr>
              <w:rPr>
                <w:i/>
                <w:iCs/>
                <w:szCs w:val="24"/>
              </w:rPr>
            </w:pPr>
            <w:r w:rsidRPr="003804F2">
              <w:rPr>
                <w:i/>
                <w:iCs/>
              </w:rPr>
              <w:t xml:space="preserve">Garso tono aukštį sieti su dažniu, garso stiprį sieti su garso šaltinio virpesių amplitude, žinoti ir tinkamai naudoti dažnio ir </w:t>
            </w:r>
            <w:proofErr w:type="spellStart"/>
            <w:r w:rsidRPr="003804F2">
              <w:rPr>
                <w:i/>
                <w:iCs/>
              </w:rPr>
              <w:t>garsio</w:t>
            </w:r>
            <w:proofErr w:type="spellEnd"/>
            <w:r w:rsidRPr="003804F2">
              <w:rPr>
                <w:i/>
                <w:iCs/>
              </w:rPr>
              <w:t xml:space="preserve"> matavimo vienetus. Pateikti natūralių ir dirbtinių triukšmo šaltinių pavyzdžių, paaiškinti triukšmo keliamą žalą.</w:t>
            </w:r>
          </w:p>
        </w:tc>
      </w:tr>
      <w:tr w:rsidR="00093FFF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093FFF" w:rsidRPr="007C3FAF" w:rsidRDefault="00093FFF" w:rsidP="00093FFF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093FFF" w:rsidRPr="00A53721" w:rsidRDefault="00093FFF" w:rsidP="00093FFF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3C865B08" w:rsidR="00093FFF" w:rsidRPr="003804F2" w:rsidRDefault="00F26CA5" w:rsidP="00704556">
            <w:pPr>
              <w:rPr>
                <w:i/>
                <w:iCs/>
              </w:rPr>
            </w:pPr>
            <w:r w:rsidRPr="003804F2">
              <w:rPr>
                <w:i/>
                <w:iCs/>
              </w:rPr>
              <w:t xml:space="preserve">Garso tono aukštį sieti su dažniu, </w:t>
            </w:r>
            <w:proofErr w:type="spellStart"/>
            <w:r w:rsidRPr="003804F2">
              <w:rPr>
                <w:i/>
                <w:iCs/>
              </w:rPr>
              <w:t>garsį</w:t>
            </w:r>
            <w:proofErr w:type="spellEnd"/>
            <w:r w:rsidRPr="003804F2">
              <w:rPr>
                <w:i/>
                <w:iCs/>
              </w:rPr>
              <w:t xml:space="preserve"> sieti su amplitude.</w:t>
            </w:r>
          </w:p>
        </w:tc>
      </w:tr>
      <w:tr w:rsidR="00093FFF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093FFF" w:rsidRDefault="00093FFF" w:rsidP="00093FFF"/>
        </w:tc>
        <w:tc>
          <w:tcPr>
            <w:tcW w:w="3096" w:type="dxa"/>
            <w:vAlign w:val="center"/>
          </w:tcPr>
          <w:p w14:paraId="2D77BC4F" w14:textId="77777777" w:rsidR="00093FFF" w:rsidRPr="00A53721" w:rsidRDefault="00093FFF" w:rsidP="00093FFF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093FFF" w:rsidRPr="007C3FAF" w:rsidRDefault="00093FFF" w:rsidP="00093FFF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75056D30" w:rsidR="00093FFF" w:rsidRPr="003804F2" w:rsidRDefault="00D70C78" w:rsidP="00704556">
            <w:pPr>
              <w:rPr>
                <w:i/>
                <w:szCs w:val="24"/>
              </w:rPr>
            </w:pPr>
            <w:r w:rsidRPr="003804F2">
              <w:rPr>
                <w:i/>
                <w:szCs w:val="24"/>
              </w:rPr>
              <w:t>Naudojantis kompiuteri</w:t>
            </w:r>
            <w:r w:rsidR="007B1889" w:rsidRPr="003804F2">
              <w:rPr>
                <w:i/>
                <w:szCs w:val="24"/>
              </w:rPr>
              <w:t>n</w:t>
            </w:r>
            <w:r w:rsidR="00F26CA5" w:rsidRPr="003804F2">
              <w:rPr>
                <w:i/>
                <w:szCs w:val="24"/>
              </w:rPr>
              <w:t>ėmis</w:t>
            </w:r>
            <w:r w:rsidR="007B1889" w:rsidRPr="003804F2">
              <w:rPr>
                <w:i/>
                <w:szCs w:val="24"/>
              </w:rPr>
              <w:t xml:space="preserve"> program</w:t>
            </w:r>
            <w:r w:rsidR="00F26CA5" w:rsidRPr="003804F2">
              <w:rPr>
                <w:i/>
                <w:szCs w:val="24"/>
              </w:rPr>
              <w:t>omis</w:t>
            </w:r>
            <w:r w:rsidR="007B1889" w:rsidRPr="003804F2">
              <w:rPr>
                <w:i/>
                <w:szCs w:val="24"/>
              </w:rPr>
              <w:t xml:space="preserve"> tirti</w:t>
            </w:r>
            <w:r w:rsidR="00F26CA5" w:rsidRPr="003804F2">
              <w:rPr>
                <w:i/>
                <w:szCs w:val="24"/>
              </w:rPr>
              <w:t xml:space="preserve"> garso tono aukščio priklausomybę nuo virpesių dažnio, praktiškai išmatuoti </w:t>
            </w:r>
            <w:proofErr w:type="spellStart"/>
            <w:r w:rsidR="00FD29C2" w:rsidRPr="003804F2">
              <w:rPr>
                <w:i/>
                <w:szCs w:val="24"/>
              </w:rPr>
              <w:t>garsį</w:t>
            </w:r>
            <w:proofErr w:type="spellEnd"/>
            <w:r w:rsidRPr="003804F2">
              <w:rPr>
                <w:i/>
                <w:szCs w:val="24"/>
              </w:rPr>
              <w:t>.</w:t>
            </w:r>
          </w:p>
        </w:tc>
      </w:tr>
      <w:tr w:rsidR="00093FFF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093FFF" w:rsidRDefault="00093FFF" w:rsidP="00093FFF"/>
        </w:tc>
        <w:tc>
          <w:tcPr>
            <w:tcW w:w="3096" w:type="dxa"/>
            <w:vAlign w:val="center"/>
          </w:tcPr>
          <w:p w14:paraId="5E3DB6DF" w14:textId="77777777" w:rsidR="00093FFF" w:rsidRPr="00A53721" w:rsidRDefault="00093FFF" w:rsidP="00093FFF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093FFF" w:rsidRPr="00A53721" w:rsidRDefault="00093FFF" w:rsidP="00093FFF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19DED50F" w:rsidR="00093FFF" w:rsidRPr="003804F2" w:rsidRDefault="00D70C78" w:rsidP="00093FFF">
            <w:pPr>
              <w:rPr>
                <w:i/>
                <w:szCs w:val="24"/>
              </w:rPr>
            </w:pPr>
            <w:r w:rsidRPr="003804F2">
              <w:rPr>
                <w:i/>
                <w:szCs w:val="24"/>
              </w:rPr>
              <w:t>Pa</w:t>
            </w:r>
            <w:r w:rsidR="00611CCB" w:rsidRPr="003804F2">
              <w:rPr>
                <w:i/>
                <w:szCs w:val="24"/>
              </w:rPr>
              <w:t>aiškinti</w:t>
            </w:r>
            <w:r w:rsidR="000A35C9" w:rsidRPr="003804F2">
              <w:rPr>
                <w:i/>
                <w:szCs w:val="24"/>
              </w:rPr>
              <w:t>, kaip muzikos instrumentais išgaunami skirtingo tono ir stiprumo garsai</w:t>
            </w:r>
            <w:r w:rsidRPr="003804F2">
              <w:rPr>
                <w:i/>
                <w:szCs w:val="24"/>
              </w:rPr>
              <w:t>.</w:t>
            </w:r>
          </w:p>
        </w:tc>
      </w:tr>
      <w:tr w:rsidR="007B1889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7B1889" w:rsidRDefault="007B1889" w:rsidP="007B1889"/>
        </w:tc>
        <w:tc>
          <w:tcPr>
            <w:tcW w:w="3096" w:type="dxa"/>
            <w:vAlign w:val="center"/>
          </w:tcPr>
          <w:p w14:paraId="1201AF40" w14:textId="77777777" w:rsidR="007B1889" w:rsidRPr="00A53721" w:rsidRDefault="007B1889" w:rsidP="007B1889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7B1889" w:rsidRPr="00A53721" w:rsidRDefault="007B1889" w:rsidP="007B1889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596699D0" w:rsidR="007B1889" w:rsidRPr="003804F2" w:rsidRDefault="00FD29C2" w:rsidP="007B1889">
            <w:pPr>
              <w:rPr>
                <w:i/>
                <w:szCs w:val="24"/>
              </w:rPr>
            </w:pPr>
            <w:r w:rsidRPr="003804F2">
              <w:rPr>
                <w:i/>
                <w:szCs w:val="24"/>
              </w:rPr>
              <w:t>Grafiškai pavaizduoti skirtingo dažnio ir amplitudės garso bangas.</w:t>
            </w:r>
          </w:p>
        </w:tc>
      </w:tr>
      <w:tr w:rsidR="00093FFF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093FFF" w:rsidRDefault="00093FFF" w:rsidP="00093FFF"/>
        </w:tc>
        <w:tc>
          <w:tcPr>
            <w:tcW w:w="3096" w:type="dxa"/>
            <w:vAlign w:val="center"/>
          </w:tcPr>
          <w:p w14:paraId="0BB551F0" w14:textId="77777777" w:rsidR="00093FFF" w:rsidRDefault="00093FFF" w:rsidP="00093FFF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10D32740" w:rsidR="00093FFF" w:rsidRPr="003804F2" w:rsidRDefault="00611CCB" w:rsidP="00D70C78">
            <w:pPr>
              <w:rPr>
                <w:i/>
                <w:szCs w:val="24"/>
              </w:rPr>
            </w:pPr>
            <w:r w:rsidRPr="003804F2">
              <w:rPr>
                <w:i/>
              </w:rPr>
              <w:t>A</w:t>
            </w:r>
            <w:r w:rsidR="00704556" w:rsidRPr="003804F2">
              <w:rPr>
                <w:i/>
              </w:rPr>
              <w:t>tlikti skaičiavimus</w:t>
            </w:r>
            <w:r w:rsidR="00D70C78" w:rsidRPr="003804F2">
              <w:rPr>
                <w:i/>
              </w:rPr>
              <w:t>, susijusius su</w:t>
            </w:r>
            <w:r w:rsidR="00FD29C2" w:rsidRPr="003804F2">
              <w:rPr>
                <w:i/>
              </w:rPr>
              <w:t xml:space="preserve"> virpesių</w:t>
            </w:r>
            <w:r w:rsidRPr="003804F2">
              <w:rPr>
                <w:i/>
              </w:rPr>
              <w:t xml:space="preserve"> </w:t>
            </w:r>
            <w:r w:rsidR="00FD29C2" w:rsidRPr="003804F2">
              <w:rPr>
                <w:i/>
              </w:rPr>
              <w:t xml:space="preserve">periodo </w:t>
            </w:r>
            <w:r w:rsidRPr="003804F2">
              <w:rPr>
                <w:i/>
              </w:rPr>
              <w:t>priklausomybe nuo dažnio</w:t>
            </w:r>
            <w:r w:rsidR="00D70C78" w:rsidRPr="003804F2">
              <w:rPr>
                <w:i/>
              </w:rPr>
              <w:t>.</w:t>
            </w:r>
          </w:p>
        </w:tc>
      </w:tr>
      <w:tr w:rsidR="00093FFF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769E699A" w14:textId="1EEF7943" w:rsidR="00093FFF" w:rsidRPr="003804F2" w:rsidRDefault="00066775" w:rsidP="00D70C78">
            <w:pPr>
              <w:rPr>
                <w:i/>
              </w:rPr>
            </w:pPr>
            <w:r w:rsidRPr="003804F2">
              <w:rPr>
                <w:i/>
              </w:rPr>
              <w:t>Mokiniai</w:t>
            </w:r>
            <w:r w:rsidR="0076654F" w:rsidRPr="003804F2">
              <w:rPr>
                <w:i/>
              </w:rPr>
              <w:t xml:space="preserve"> turi paaiškinti, kuo skiriasi aukšto ir žemo tono, silpni ir stiprūs garsai</w:t>
            </w:r>
            <w:r w:rsidR="00D70C78" w:rsidRPr="003804F2">
              <w:rPr>
                <w:i/>
              </w:rPr>
              <w:t>.</w:t>
            </w:r>
            <w:r w:rsidR="0076654F" w:rsidRPr="003804F2">
              <w:rPr>
                <w:i/>
              </w:rPr>
              <w:t xml:space="preserve"> Žinoti, kokį poveikį sveikatai daro triukšmas, ausinukai, aptar</w:t>
            </w:r>
            <w:r w:rsidR="000A35C9" w:rsidRPr="003804F2">
              <w:rPr>
                <w:i/>
              </w:rPr>
              <w:t>ti</w:t>
            </w:r>
            <w:r w:rsidR="0076654F" w:rsidRPr="003804F2">
              <w:rPr>
                <w:i/>
              </w:rPr>
              <w:t xml:space="preserve"> triukšmo mažinimo būd</w:t>
            </w:r>
            <w:r w:rsidR="000A35C9" w:rsidRPr="003804F2">
              <w:rPr>
                <w:i/>
              </w:rPr>
              <w:t>us.</w:t>
            </w:r>
          </w:p>
        </w:tc>
      </w:tr>
      <w:tr w:rsidR="00093FFF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4E8E162A" w14:textId="5DB0FC9C" w:rsidR="00093FFF" w:rsidRPr="003804F2" w:rsidRDefault="00D725A3" w:rsidP="00093FFF">
            <w:pPr>
              <w:rPr>
                <w:i/>
                <w:szCs w:val="24"/>
              </w:rPr>
            </w:pPr>
            <w:r w:rsidRPr="003804F2">
              <w:rPr>
                <w:i/>
                <w:szCs w:val="24"/>
              </w:rPr>
              <w:t>202</w:t>
            </w:r>
            <w:r w:rsidR="007B1889" w:rsidRPr="003804F2">
              <w:rPr>
                <w:i/>
                <w:szCs w:val="24"/>
              </w:rPr>
              <w:t>5</w:t>
            </w:r>
            <w:r w:rsidR="00D70C78" w:rsidRPr="003804F2">
              <w:rPr>
                <w:i/>
                <w:szCs w:val="24"/>
              </w:rPr>
              <w:t>–</w:t>
            </w:r>
            <w:r w:rsidR="00E13237" w:rsidRPr="003804F2">
              <w:rPr>
                <w:i/>
                <w:szCs w:val="24"/>
              </w:rPr>
              <w:t>10</w:t>
            </w:r>
            <w:r w:rsidR="00D70C78" w:rsidRPr="003804F2">
              <w:rPr>
                <w:i/>
                <w:szCs w:val="24"/>
              </w:rPr>
              <w:t>–</w:t>
            </w:r>
            <w:r w:rsidR="00E13237" w:rsidRPr="003804F2">
              <w:rPr>
                <w:i/>
                <w:szCs w:val="24"/>
              </w:rPr>
              <w:t>29</w:t>
            </w:r>
          </w:p>
        </w:tc>
      </w:tr>
      <w:tr w:rsidR="00093FFF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0CB5BCFC" w:rsidR="00093FFF" w:rsidRPr="004E4860" w:rsidRDefault="005C6FB4" w:rsidP="00D70C7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Mokyklos </w:t>
            </w:r>
            <w:r w:rsidR="007B1889">
              <w:rPr>
                <w:i/>
                <w:szCs w:val="24"/>
              </w:rPr>
              <w:t>fizikos</w:t>
            </w:r>
            <w:r>
              <w:rPr>
                <w:i/>
                <w:szCs w:val="24"/>
              </w:rPr>
              <w:t xml:space="preserve"> kabinetas.</w:t>
            </w:r>
          </w:p>
        </w:tc>
      </w:tr>
      <w:tr w:rsidR="00093FFF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7E8E4D2" w:rsidR="00093FFF" w:rsidRPr="004E4860" w:rsidRDefault="007B1889" w:rsidP="00093FF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45</w:t>
            </w:r>
            <w:r w:rsidR="005C6FB4">
              <w:rPr>
                <w:i/>
                <w:szCs w:val="24"/>
              </w:rPr>
              <w:t xml:space="preserve"> min.</w:t>
            </w:r>
          </w:p>
        </w:tc>
      </w:tr>
      <w:tr w:rsidR="002239F0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2239F0" w:rsidRPr="007C3FAF" w:rsidRDefault="002239F0" w:rsidP="002239F0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0BD5D4AD" w:rsidR="002239F0" w:rsidRPr="004E4860" w:rsidRDefault="002239F0" w:rsidP="002239F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Didžiasalio „Ryto“ gimnazija</w:t>
            </w:r>
          </w:p>
        </w:tc>
      </w:tr>
      <w:tr w:rsidR="002239F0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2239F0" w:rsidRPr="007C3FAF" w:rsidRDefault="002239F0" w:rsidP="002239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77777777" w:rsidR="002239F0" w:rsidRPr="004E4860" w:rsidRDefault="002239F0" w:rsidP="002239F0">
            <w:pPr>
              <w:jc w:val="center"/>
              <w:rPr>
                <w:i/>
                <w:szCs w:val="24"/>
              </w:rPr>
            </w:pPr>
          </w:p>
        </w:tc>
      </w:tr>
      <w:tr w:rsidR="002239F0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2239F0" w:rsidRDefault="002239F0" w:rsidP="002239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2239F0" w:rsidRDefault="002239F0" w:rsidP="002239F0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20699F12" w:rsidR="002239F0" w:rsidRPr="004E4860" w:rsidRDefault="002239F0" w:rsidP="002239F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Stasys Keraitis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9DB7" w14:textId="77777777" w:rsidR="00005F50" w:rsidRDefault="00005F50">
      <w:r>
        <w:separator/>
      </w:r>
    </w:p>
  </w:endnote>
  <w:endnote w:type="continuationSeparator" w:id="0">
    <w:p w14:paraId="5EA5DE5A" w14:textId="77777777" w:rsidR="00005F50" w:rsidRDefault="000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8D26" w14:textId="77777777" w:rsidR="00005F50" w:rsidRDefault="00005F50">
      <w:r>
        <w:separator/>
      </w:r>
    </w:p>
  </w:footnote>
  <w:footnote w:type="continuationSeparator" w:id="0">
    <w:p w14:paraId="77473F26" w14:textId="77777777" w:rsidR="00005F50" w:rsidRDefault="0000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450171143">
    <w:abstractNumId w:val="9"/>
  </w:num>
  <w:num w:numId="2" w16cid:durableId="1586954550">
    <w:abstractNumId w:val="3"/>
  </w:num>
  <w:num w:numId="3" w16cid:durableId="1888105254">
    <w:abstractNumId w:val="5"/>
  </w:num>
  <w:num w:numId="4" w16cid:durableId="1475100675">
    <w:abstractNumId w:val="10"/>
  </w:num>
  <w:num w:numId="5" w16cid:durableId="253824421">
    <w:abstractNumId w:val="7"/>
  </w:num>
  <w:num w:numId="6" w16cid:durableId="2042630245">
    <w:abstractNumId w:val="11"/>
  </w:num>
  <w:num w:numId="7" w16cid:durableId="2089114156">
    <w:abstractNumId w:val="4"/>
  </w:num>
  <w:num w:numId="8" w16cid:durableId="818814322">
    <w:abstractNumId w:val="12"/>
  </w:num>
  <w:num w:numId="9" w16cid:durableId="2146896311">
    <w:abstractNumId w:val="0"/>
  </w:num>
  <w:num w:numId="10" w16cid:durableId="875000087">
    <w:abstractNumId w:val="2"/>
  </w:num>
  <w:num w:numId="11" w16cid:durableId="1646544005">
    <w:abstractNumId w:val="6"/>
  </w:num>
  <w:num w:numId="12" w16cid:durableId="1183936264">
    <w:abstractNumId w:val="1"/>
  </w:num>
  <w:num w:numId="13" w16cid:durableId="1655790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05F50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873"/>
    <w:rsid w:val="00065AEF"/>
    <w:rsid w:val="00066775"/>
    <w:rsid w:val="000670B9"/>
    <w:rsid w:val="00067659"/>
    <w:rsid w:val="0007145C"/>
    <w:rsid w:val="00074B77"/>
    <w:rsid w:val="0007690E"/>
    <w:rsid w:val="000774CE"/>
    <w:rsid w:val="00080ABC"/>
    <w:rsid w:val="00084A4B"/>
    <w:rsid w:val="0008553A"/>
    <w:rsid w:val="00093578"/>
    <w:rsid w:val="00093FFF"/>
    <w:rsid w:val="00094CD9"/>
    <w:rsid w:val="000A35C9"/>
    <w:rsid w:val="000A4C2A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06442"/>
    <w:rsid w:val="00120E7A"/>
    <w:rsid w:val="00120F3D"/>
    <w:rsid w:val="001235A5"/>
    <w:rsid w:val="001328D1"/>
    <w:rsid w:val="001356E1"/>
    <w:rsid w:val="00141424"/>
    <w:rsid w:val="00152148"/>
    <w:rsid w:val="00161C1C"/>
    <w:rsid w:val="00175BBE"/>
    <w:rsid w:val="00177311"/>
    <w:rsid w:val="001801C6"/>
    <w:rsid w:val="00180B4B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A5DA5"/>
    <w:rsid w:val="001B4621"/>
    <w:rsid w:val="001B56DC"/>
    <w:rsid w:val="001C0633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20106C"/>
    <w:rsid w:val="00201E06"/>
    <w:rsid w:val="00204D5C"/>
    <w:rsid w:val="00210F0C"/>
    <w:rsid w:val="0021290C"/>
    <w:rsid w:val="002179F3"/>
    <w:rsid w:val="002215C0"/>
    <w:rsid w:val="002218FC"/>
    <w:rsid w:val="002239F0"/>
    <w:rsid w:val="002272BF"/>
    <w:rsid w:val="0023205A"/>
    <w:rsid w:val="00240C6F"/>
    <w:rsid w:val="00243422"/>
    <w:rsid w:val="00243528"/>
    <w:rsid w:val="00243680"/>
    <w:rsid w:val="00245C83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6F54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04F2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A2DB6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401118"/>
    <w:rsid w:val="00402591"/>
    <w:rsid w:val="0040348F"/>
    <w:rsid w:val="004034D8"/>
    <w:rsid w:val="00403826"/>
    <w:rsid w:val="0040404E"/>
    <w:rsid w:val="004079EF"/>
    <w:rsid w:val="004111A5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8176C"/>
    <w:rsid w:val="004902DE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0ED3"/>
    <w:rsid w:val="004D3106"/>
    <w:rsid w:val="004D34AC"/>
    <w:rsid w:val="004E4860"/>
    <w:rsid w:val="004E6FA5"/>
    <w:rsid w:val="004F5C0C"/>
    <w:rsid w:val="005001E6"/>
    <w:rsid w:val="00503BE8"/>
    <w:rsid w:val="00504D11"/>
    <w:rsid w:val="005060C6"/>
    <w:rsid w:val="00507D76"/>
    <w:rsid w:val="005112B8"/>
    <w:rsid w:val="0051153E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86555"/>
    <w:rsid w:val="00590E64"/>
    <w:rsid w:val="00593F48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6FB4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CCB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908F1"/>
    <w:rsid w:val="00692160"/>
    <w:rsid w:val="00694AB9"/>
    <w:rsid w:val="00696107"/>
    <w:rsid w:val="00696ADB"/>
    <w:rsid w:val="00697CD1"/>
    <w:rsid w:val="006A102F"/>
    <w:rsid w:val="006A34E7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4556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6654F"/>
    <w:rsid w:val="007701A5"/>
    <w:rsid w:val="00771968"/>
    <w:rsid w:val="00776244"/>
    <w:rsid w:val="00787025"/>
    <w:rsid w:val="00790042"/>
    <w:rsid w:val="00792636"/>
    <w:rsid w:val="00794152"/>
    <w:rsid w:val="00796CC2"/>
    <w:rsid w:val="0079753B"/>
    <w:rsid w:val="007A0DD4"/>
    <w:rsid w:val="007A1EED"/>
    <w:rsid w:val="007A6C07"/>
    <w:rsid w:val="007B123F"/>
    <w:rsid w:val="007B12AC"/>
    <w:rsid w:val="007B1889"/>
    <w:rsid w:val="007B1BC4"/>
    <w:rsid w:val="007B6231"/>
    <w:rsid w:val="007B7706"/>
    <w:rsid w:val="007C2FCB"/>
    <w:rsid w:val="007C3397"/>
    <w:rsid w:val="007C339E"/>
    <w:rsid w:val="007C4D4B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52EF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3CA6"/>
    <w:rsid w:val="008852AE"/>
    <w:rsid w:val="008858D5"/>
    <w:rsid w:val="00891257"/>
    <w:rsid w:val="008939D4"/>
    <w:rsid w:val="00895B8E"/>
    <w:rsid w:val="008A440C"/>
    <w:rsid w:val="008A5010"/>
    <w:rsid w:val="008A6007"/>
    <w:rsid w:val="008A77DD"/>
    <w:rsid w:val="008B2BCD"/>
    <w:rsid w:val="008B5FC7"/>
    <w:rsid w:val="008C31D5"/>
    <w:rsid w:val="008C35A5"/>
    <w:rsid w:val="008D1D35"/>
    <w:rsid w:val="008D2119"/>
    <w:rsid w:val="008D32CB"/>
    <w:rsid w:val="008E0F95"/>
    <w:rsid w:val="008E1C84"/>
    <w:rsid w:val="008E1ED4"/>
    <w:rsid w:val="008E500F"/>
    <w:rsid w:val="008E6B9F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1DB4"/>
    <w:rsid w:val="00A53793"/>
    <w:rsid w:val="00A55DEC"/>
    <w:rsid w:val="00A55F2F"/>
    <w:rsid w:val="00A61E65"/>
    <w:rsid w:val="00A65C9C"/>
    <w:rsid w:val="00A66CE7"/>
    <w:rsid w:val="00A7760D"/>
    <w:rsid w:val="00A81F39"/>
    <w:rsid w:val="00A82D45"/>
    <w:rsid w:val="00A905BF"/>
    <w:rsid w:val="00A913A2"/>
    <w:rsid w:val="00A92BA6"/>
    <w:rsid w:val="00A933ED"/>
    <w:rsid w:val="00A9390C"/>
    <w:rsid w:val="00A9401F"/>
    <w:rsid w:val="00A94D6D"/>
    <w:rsid w:val="00A9560C"/>
    <w:rsid w:val="00AA00D8"/>
    <w:rsid w:val="00AA0F58"/>
    <w:rsid w:val="00AA6E08"/>
    <w:rsid w:val="00AA7143"/>
    <w:rsid w:val="00AB66C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0560F"/>
    <w:rsid w:val="00B16192"/>
    <w:rsid w:val="00B162BB"/>
    <w:rsid w:val="00B17C25"/>
    <w:rsid w:val="00B20429"/>
    <w:rsid w:val="00B22489"/>
    <w:rsid w:val="00B23379"/>
    <w:rsid w:val="00B32FC5"/>
    <w:rsid w:val="00B3526C"/>
    <w:rsid w:val="00B4393B"/>
    <w:rsid w:val="00B453D3"/>
    <w:rsid w:val="00B46FE2"/>
    <w:rsid w:val="00B552F6"/>
    <w:rsid w:val="00B6095F"/>
    <w:rsid w:val="00B614F9"/>
    <w:rsid w:val="00B7036F"/>
    <w:rsid w:val="00B710B3"/>
    <w:rsid w:val="00B72FEE"/>
    <w:rsid w:val="00B81A3A"/>
    <w:rsid w:val="00B876CF"/>
    <w:rsid w:val="00B8781E"/>
    <w:rsid w:val="00B90F1F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CC7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397E"/>
    <w:rsid w:val="00D350CB"/>
    <w:rsid w:val="00D438F6"/>
    <w:rsid w:val="00D44A8B"/>
    <w:rsid w:val="00D47BA5"/>
    <w:rsid w:val="00D50290"/>
    <w:rsid w:val="00D51003"/>
    <w:rsid w:val="00D52E5F"/>
    <w:rsid w:val="00D565ED"/>
    <w:rsid w:val="00D65BC9"/>
    <w:rsid w:val="00D70C78"/>
    <w:rsid w:val="00D714AA"/>
    <w:rsid w:val="00D725A3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B3B"/>
    <w:rsid w:val="00E06DAB"/>
    <w:rsid w:val="00E06E93"/>
    <w:rsid w:val="00E07209"/>
    <w:rsid w:val="00E13237"/>
    <w:rsid w:val="00E24B7F"/>
    <w:rsid w:val="00E309AF"/>
    <w:rsid w:val="00E31DA3"/>
    <w:rsid w:val="00E413F4"/>
    <w:rsid w:val="00E455BD"/>
    <w:rsid w:val="00E46E07"/>
    <w:rsid w:val="00E47E1E"/>
    <w:rsid w:val="00E5062C"/>
    <w:rsid w:val="00E51C51"/>
    <w:rsid w:val="00E524BA"/>
    <w:rsid w:val="00E5327C"/>
    <w:rsid w:val="00E5582F"/>
    <w:rsid w:val="00E56925"/>
    <w:rsid w:val="00E56A24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2143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EF75C9"/>
    <w:rsid w:val="00F0703D"/>
    <w:rsid w:val="00F07DD3"/>
    <w:rsid w:val="00F07EAB"/>
    <w:rsid w:val="00F10332"/>
    <w:rsid w:val="00F1423B"/>
    <w:rsid w:val="00F14928"/>
    <w:rsid w:val="00F15C7F"/>
    <w:rsid w:val="00F21A0C"/>
    <w:rsid w:val="00F26CA5"/>
    <w:rsid w:val="00F27ABA"/>
    <w:rsid w:val="00F31089"/>
    <w:rsid w:val="00F319BF"/>
    <w:rsid w:val="00F336BB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86805"/>
    <w:rsid w:val="00F901D4"/>
    <w:rsid w:val="00F9655A"/>
    <w:rsid w:val="00FA051D"/>
    <w:rsid w:val="00FA3259"/>
    <w:rsid w:val="00FA720D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29C2"/>
    <w:rsid w:val="00FD4A02"/>
    <w:rsid w:val="00FD5412"/>
    <w:rsid w:val="00FD6E2A"/>
    <w:rsid w:val="00FE23C2"/>
    <w:rsid w:val="00FE2F6F"/>
    <w:rsid w:val="00FE5B3E"/>
    <w:rsid w:val="00FE6C10"/>
    <w:rsid w:val="00FE754B"/>
    <w:rsid w:val="00FF3E60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0519-C5E4-402E-8297-E12CB445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Stasys Keraitis</cp:lastModifiedBy>
  <cp:revision>8</cp:revision>
  <cp:lastPrinted>2021-12-17T08:17:00Z</cp:lastPrinted>
  <dcterms:created xsi:type="dcterms:W3CDTF">2025-05-04T13:11:00Z</dcterms:created>
  <dcterms:modified xsi:type="dcterms:W3CDTF">2026-01-06T15:24:00Z</dcterms:modified>
</cp:coreProperties>
</file>