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:rsidR="00487738" w:rsidRPr="004C5A9E" w:rsidRDefault="00D86863" w:rsidP="00F62D46">
            <w:pPr>
              <w:rPr>
                <w:b/>
                <w:szCs w:val="24"/>
              </w:rPr>
            </w:pPr>
            <w:r w:rsidRPr="004C5A9E">
              <w:rPr>
                <w:b/>
                <w:szCs w:val="24"/>
              </w:rPr>
              <w:t>Matematika</w:t>
            </w:r>
            <w:bookmarkStart w:id="0" w:name="_GoBack"/>
            <w:bookmarkEnd w:id="0"/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:rsidR="00487738" w:rsidRPr="002343C2" w:rsidRDefault="00FD203E" w:rsidP="00F62D46">
            <w:pPr>
              <w:rPr>
                <w:szCs w:val="24"/>
              </w:rPr>
            </w:pPr>
            <w:r>
              <w:rPr>
                <w:szCs w:val="24"/>
              </w:rPr>
              <w:t>Dideli ir maži skaičiai aplink mus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:rsidR="00487738" w:rsidRDefault="00FD203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 a, b, c</w:t>
            </w:r>
          </w:p>
        </w:tc>
      </w:tr>
      <w:tr w:rsidR="00487738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:rsidR="00487738" w:rsidRPr="00F62D46" w:rsidRDefault="00F15111" w:rsidP="00D23268">
            <w:pPr>
              <w:rPr>
                <w:b/>
              </w:rPr>
            </w:pPr>
            <w:r w:rsidRPr="00D23268">
              <w:t>Pažinimo,</w:t>
            </w:r>
            <w:r w:rsidR="00724512" w:rsidRPr="00724512">
              <w:rPr>
                <w:rFonts w:eastAsiaTheme="minorEastAsia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724512" w:rsidRPr="00724512">
              <w:t>skaitmeninė</w:t>
            </w:r>
            <w:r w:rsidR="00724512">
              <w:t xml:space="preserve">, </w:t>
            </w:r>
            <w:r w:rsidRPr="00D23268">
              <w:t xml:space="preserve"> komunikavimo,</w:t>
            </w:r>
            <w:r>
              <w:rPr>
                <w:b/>
              </w:rPr>
              <w:t xml:space="preserve"> </w:t>
            </w:r>
            <w:r w:rsidR="00D23268" w:rsidRPr="00884A38">
              <w:rPr>
                <w:rFonts w:eastAsia="SimSun"/>
                <w:lang w:eastAsia="zh-CN"/>
              </w:rPr>
              <w:t>kūrybiškumo, socialin</w:t>
            </w:r>
            <w:r w:rsidR="00C8034B">
              <w:rPr>
                <w:rFonts w:eastAsia="SimSun"/>
                <w:lang w:eastAsia="zh-CN"/>
              </w:rPr>
              <w:t>ė, emocinė</w:t>
            </w:r>
            <w:r w:rsidR="00A07C1F">
              <w:rPr>
                <w:rFonts w:eastAsia="SimSun"/>
                <w:lang w:eastAsia="zh-CN"/>
              </w:rPr>
              <w:t>.</w:t>
            </w:r>
          </w:p>
        </w:tc>
      </w:tr>
      <w:tr w:rsidR="00487738" w:rsidTr="00A07C1F">
        <w:trPr>
          <w:trHeight w:val="1543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:rsidR="00F62D46" w:rsidRDefault="001A0D7D" w:rsidP="00A07C1F">
            <w:pPr>
              <w:pStyle w:val="prastasiniatinklio"/>
              <w:spacing w:before="120" w:beforeAutospacing="0" w:after="0" w:afterAutospacing="0"/>
              <w:ind w:left="130"/>
              <w:rPr>
                <w:bCs/>
              </w:rPr>
            </w:pPr>
            <w:r w:rsidRPr="00C8034B">
              <w:rPr>
                <w:rFonts w:cs="+mn-cs"/>
                <w:iCs/>
                <w:color w:val="000000"/>
                <w:kern w:val="24"/>
              </w:rPr>
              <w:t xml:space="preserve">Pakartoję, kokia skaičiaus išraiška vadinama standartine, kaip didelius ir mažus skaičius užrašyti standartine išraiška, dirbdami poromis susipažinsite su planetomis, </w:t>
            </w:r>
            <w:r>
              <w:rPr>
                <w:rFonts w:cs="+mn-cs"/>
                <w:iCs/>
                <w:color w:val="000000"/>
                <w:kern w:val="24"/>
              </w:rPr>
              <w:t>nurodytus apie jas</w:t>
            </w:r>
            <w:r w:rsidR="009505A4">
              <w:rPr>
                <w:rFonts w:cs="+mn-cs"/>
                <w:iCs/>
                <w:color w:val="000000"/>
                <w:kern w:val="24"/>
              </w:rPr>
              <w:t xml:space="preserve">  10–</w:t>
            </w:r>
            <w:r w:rsidRPr="00C8034B">
              <w:rPr>
                <w:rFonts w:cs="+mn-cs"/>
                <w:iCs/>
                <w:color w:val="000000"/>
                <w:kern w:val="24"/>
              </w:rPr>
              <w:t xml:space="preserve">12 dydžių užrašysite standartine išraiška ir </w:t>
            </w:r>
            <w:r>
              <w:rPr>
                <w:rFonts w:cs="+mn-cs"/>
                <w:iCs/>
                <w:color w:val="000000"/>
                <w:kern w:val="24"/>
              </w:rPr>
              <w:t>įdomiausią suž</w:t>
            </w:r>
            <w:r w:rsidR="00D27024">
              <w:rPr>
                <w:rFonts w:cs="+mn-cs"/>
                <w:iCs/>
                <w:color w:val="000000"/>
                <w:kern w:val="24"/>
              </w:rPr>
              <w:t>inotą informaciją apie S</w:t>
            </w:r>
            <w:r>
              <w:rPr>
                <w:rFonts w:cs="+mn-cs"/>
                <w:iCs/>
                <w:color w:val="000000"/>
                <w:kern w:val="24"/>
              </w:rPr>
              <w:t>aulės sistemos planetas</w:t>
            </w:r>
            <w:r w:rsidRPr="00C8034B">
              <w:rPr>
                <w:rFonts w:cs="+mn-cs"/>
                <w:iCs/>
                <w:color w:val="000000"/>
                <w:kern w:val="24"/>
              </w:rPr>
              <w:t xml:space="preserve"> perduosite grupės draugams</w:t>
            </w:r>
            <w:r w:rsidR="00A07C1F">
              <w:rPr>
                <w:rFonts w:cs="+mn-cs"/>
                <w:iCs/>
                <w:color w:val="000000"/>
                <w:kern w:val="24"/>
              </w:rPr>
              <w:t>.</w:t>
            </w:r>
          </w:p>
        </w:tc>
      </w:tr>
      <w:tr w:rsidR="00487738" w:rsidTr="00A07C1F">
        <w:trPr>
          <w:trHeight w:val="463"/>
        </w:trPr>
        <w:tc>
          <w:tcPr>
            <w:tcW w:w="443" w:type="dxa"/>
            <w:vMerge w:val="restart"/>
            <w:vAlign w:val="center"/>
          </w:tcPr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:rsidR="00487738" w:rsidRDefault="002F6B6C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F</w:t>
            </w:r>
            <w:r w:rsidR="00D23268">
              <w:rPr>
                <w:bCs/>
                <w:szCs w:val="24"/>
              </w:rPr>
              <w:t>izika</w:t>
            </w:r>
            <w:r>
              <w:rPr>
                <w:bCs/>
                <w:szCs w:val="24"/>
              </w:rPr>
              <w:t xml:space="preserve"> (astronomijos pradmenys)</w:t>
            </w:r>
            <w:r w:rsidR="00A07C1F">
              <w:rPr>
                <w:bCs/>
                <w:szCs w:val="24"/>
              </w:rPr>
              <w:t>.</w:t>
            </w:r>
          </w:p>
        </w:tc>
      </w:tr>
      <w:tr w:rsidR="00487738" w:rsidTr="00CC5438">
        <w:trPr>
          <w:trHeight w:val="98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:rsidR="00487738" w:rsidRDefault="002F6B6C" w:rsidP="002F6B6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internete</w:t>
            </w:r>
            <w:r w:rsidR="00A07C1F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119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:rsidR="00487738" w:rsidRDefault="002F6B6C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Planetų pavyzdžių kūrimas</w:t>
            </w:r>
            <w:r w:rsidR="00A07C1F">
              <w:rPr>
                <w:bCs/>
                <w:szCs w:val="24"/>
              </w:rPr>
              <w:t>.</w:t>
            </w:r>
          </w:p>
        </w:tc>
      </w:tr>
      <w:tr w:rsidR="00487738" w:rsidTr="00F62D46">
        <w:trPr>
          <w:trHeight w:val="874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2F6B6C" w:rsidP="002F6B6C">
            <w:pPr>
              <w:rPr>
                <w:szCs w:val="24"/>
              </w:rPr>
            </w:pPr>
            <w:r>
              <w:rPr>
                <w:szCs w:val="24"/>
              </w:rPr>
              <w:t xml:space="preserve">Kūrybinės užduotys piešiant planetas interaktyvios lentos </w:t>
            </w:r>
            <w:r w:rsidR="00EE0393">
              <w:rPr>
                <w:szCs w:val="24"/>
              </w:rPr>
              <w:t>pagalba</w:t>
            </w:r>
            <w:r w:rsidR="00A07C1F">
              <w:rPr>
                <w:szCs w:val="24"/>
              </w:rPr>
              <w:t>.</w:t>
            </w:r>
            <w:r w:rsidR="00724512">
              <w:rPr>
                <w:szCs w:val="24"/>
              </w:rPr>
              <w:t xml:space="preserve"> </w:t>
            </w:r>
          </w:p>
        </w:tc>
      </w:tr>
      <w:tr w:rsidR="00487738" w:rsidTr="00CC5438">
        <w:trPr>
          <w:trHeight w:val="956"/>
        </w:trPr>
        <w:tc>
          <w:tcPr>
            <w:tcW w:w="443" w:type="dxa"/>
            <w:vMerge/>
            <w:vAlign w:val="center"/>
          </w:tcPr>
          <w:p w:rsidR="00487738" w:rsidRDefault="00487738"/>
        </w:tc>
        <w:tc>
          <w:tcPr>
            <w:tcW w:w="3096" w:type="dxa"/>
            <w:vAlign w:val="center"/>
          </w:tcPr>
          <w:p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D64C64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:rsidR="00487738" w:rsidRPr="0045698C" w:rsidRDefault="00EE0393" w:rsidP="00D049EF">
            <w:pPr>
              <w:rPr>
                <w:szCs w:val="24"/>
              </w:rPr>
            </w:pPr>
            <w:r>
              <w:rPr>
                <w:szCs w:val="24"/>
              </w:rPr>
              <w:t>Didelių skaičių skaitymas ir užrašymas standartine išraiška</w:t>
            </w:r>
            <w:r w:rsidR="00A07C1F">
              <w:rPr>
                <w:szCs w:val="24"/>
              </w:rPr>
              <w:t>.</w:t>
            </w:r>
          </w:p>
        </w:tc>
      </w:tr>
      <w:tr w:rsidR="00487738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vAlign w:val="center"/>
          </w:tcPr>
          <w:p w:rsidR="00245258" w:rsidRDefault="009A605E" w:rsidP="004B65B9">
            <w:pPr>
              <w:rPr>
                <w:szCs w:val="24"/>
              </w:rPr>
            </w:pPr>
            <w:r>
              <w:rPr>
                <w:szCs w:val="24"/>
              </w:rPr>
              <w:t>Supratimas, kad labai didelius skaičius, su kuriais susiduriame gyvenime, daug patogiau užrašyti standartine išraiška</w:t>
            </w:r>
            <w:r w:rsidR="004B65B9">
              <w:rPr>
                <w:szCs w:val="24"/>
              </w:rPr>
              <w:t>.</w:t>
            </w:r>
            <w:r>
              <w:rPr>
                <w:szCs w:val="24"/>
              </w:rPr>
              <w:t xml:space="preserve"> Pvz.: </w:t>
            </w:r>
            <w:r w:rsidR="00D27024">
              <w:rPr>
                <w:szCs w:val="24"/>
              </w:rPr>
              <w:t>Saulės masė yra 1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989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>000</w:t>
            </w:r>
            <w:r w:rsidR="00245258">
              <w:rPr>
                <w:szCs w:val="24"/>
              </w:rPr>
              <w:t xml:space="preserve"> </w:t>
            </w:r>
            <w:r w:rsidR="00D27024">
              <w:rPr>
                <w:szCs w:val="24"/>
              </w:rPr>
              <w:t xml:space="preserve">000 kg </w:t>
            </w:r>
            <w:r w:rsidR="00245258">
              <w:rPr>
                <w:szCs w:val="24"/>
              </w:rPr>
              <w:t>, o standartine išraiška tai yra</w:t>
            </w:r>
            <w:r w:rsidR="00D27024">
              <w:rPr>
                <w:szCs w:val="24"/>
              </w:rPr>
              <w:t xml:space="preserve"> </w:t>
            </w:r>
          </w:p>
          <w:p w:rsidR="00487738" w:rsidRPr="0045698C" w:rsidRDefault="00D27024" w:rsidP="004B65B9">
            <w:pPr>
              <w:rPr>
                <w:szCs w:val="24"/>
              </w:rPr>
            </w:pPr>
            <w:r>
              <w:rPr>
                <w:szCs w:val="24"/>
              </w:rPr>
              <w:t xml:space="preserve">1,989 </w:t>
            </w:r>
            <w:r w:rsidR="00245258">
              <w:rPr>
                <w:rFonts w:cs="Times New Roman"/>
                <w:szCs w:val="24"/>
              </w:rPr>
              <w:t>·</w:t>
            </w:r>
            <w:r w:rsidR="00245258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30</m:t>
                  </m:r>
                </m:sup>
              </m:sSup>
            </m:oMath>
            <w:r w:rsidR="00A07C1F">
              <w:rPr>
                <w:rFonts w:eastAsiaTheme="minorEastAsia"/>
                <w:szCs w:val="24"/>
              </w:rPr>
              <w:t>.</w:t>
            </w:r>
          </w:p>
        </w:tc>
      </w:tr>
      <w:tr w:rsidR="00487738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:rsidR="00487738" w:rsidRPr="00DD6B02" w:rsidRDefault="00DD6B02" w:rsidP="00F62D46">
            <w:pPr>
              <w:rPr>
                <w:szCs w:val="24"/>
              </w:rPr>
            </w:pPr>
            <w:r>
              <w:rPr>
                <w:szCs w:val="24"/>
              </w:rPr>
              <w:t>2024-02</w:t>
            </w:r>
            <w:r w:rsidR="000E0F20">
              <w:rPr>
                <w:szCs w:val="24"/>
              </w:rPr>
              <w:t>-26</w:t>
            </w:r>
          </w:p>
        </w:tc>
      </w:tr>
      <w:tr w:rsidR="00487738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:rsidR="00487738" w:rsidRPr="00622996" w:rsidRDefault="00622996" w:rsidP="00F62D46">
            <w:pPr>
              <w:rPr>
                <w:szCs w:val="24"/>
              </w:rPr>
            </w:pPr>
            <w:r w:rsidRPr="00622996">
              <w:rPr>
                <w:szCs w:val="24"/>
              </w:rPr>
              <w:t>Matematikos kabinetas</w:t>
            </w:r>
          </w:p>
        </w:tc>
      </w:tr>
      <w:tr w:rsidR="00487738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:rsidR="00487738" w:rsidRPr="00ED3DE8" w:rsidRDefault="00D23268" w:rsidP="00F62D46">
            <w:pPr>
              <w:rPr>
                <w:szCs w:val="24"/>
              </w:rPr>
            </w:pPr>
            <w:r w:rsidRPr="00ED3DE8">
              <w:rPr>
                <w:szCs w:val="24"/>
              </w:rPr>
              <w:t>45 min.</w:t>
            </w:r>
          </w:p>
        </w:tc>
      </w:tr>
      <w:tr w:rsidR="00487738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:rsidR="00487738" w:rsidRPr="002343C2" w:rsidRDefault="005502C8" w:rsidP="00F62D46">
            <w:pPr>
              <w:rPr>
                <w:szCs w:val="24"/>
              </w:rPr>
            </w:pPr>
            <w:r>
              <w:rPr>
                <w:szCs w:val="24"/>
              </w:rPr>
              <w:t>Ig</w:t>
            </w:r>
            <w:r w:rsidR="0006092D" w:rsidRPr="002343C2">
              <w:rPr>
                <w:szCs w:val="24"/>
              </w:rPr>
              <w:t>nalinos Česlovo Kudabos gimnazija</w:t>
            </w:r>
          </w:p>
        </w:tc>
      </w:tr>
      <w:tr w:rsidR="00487738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45698C" w:rsidRDefault="000E0F20" w:rsidP="000E0F20">
            <w:pPr>
              <w:rPr>
                <w:szCs w:val="24"/>
              </w:rPr>
            </w:pPr>
            <w:r>
              <w:rPr>
                <w:szCs w:val="24"/>
              </w:rPr>
              <w:t>Mokiniai porose nagrinėjo skirtingas planetas, įgi</w:t>
            </w:r>
            <w:r w:rsidR="00CC5438">
              <w:rPr>
                <w:szCs w:val="24"/>
              </w:rPr>
              <w:t>jo daug įdomios informacijos,</w:t>
            </w:r>
            <w:r>
              <w:rPr>
                <w:szCs w:val="24"/>
              </w:rPr>
              <w:t xml:space="preserve"> kuria pasidalino su visais, pakartojo ir įtvirtino matematines žinias, kartu sprendėme kilusius klausimus, dirbo susidomėję, todėl šia</w:t>
            </w:r>
            <w:r w:rsidR="004A70BF">
              <w:rPr>
                <w:szCs w:val="24"/>
              </w:rPr>
              <w:t>s temas tikrai naudinga integruo</w:t>
            </w:r>
            <w:r w:rsidR="009505A4">
              <w:rPr>
                <w:szCs w:val="24"/>
              </w:rPr>
              <w:t>ti</w:t>
            </w:r>
            <w:r w:rsidR="00ED3DE8">
              <w:rPr>
                <w:szCs w:val="24"/>
              </w:rPr>
              <w:t xml:space="preserve"> </w:t>
            </w:r>
            <w:r w:rsidR="00A07C1F">
              <w:rPr>
                <w:szCs w:val="24"/>
              </w:rPr>
              <w:t>.</w:t>
            </w:r>
          </w:p>
        </w:tc>
      </w:tr>
      <w:tr w:rsidR="00487738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CC5438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3ABB"/>
    <w:multiLevelType w:val="hybridMultilevel"/>
    <w:tmpl w:val="A64C1D46"/>
    <w:lvl w:ilvl="0" w:tplc="7ADC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89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A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5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6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2E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2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6092D"/>
    <w:rsid w:val="00094A6D"/>
    <w:rsid w:val="000E0F20"/>
    <w:rsid w:val="000F6126"/>
    <w:rsid w:val="001359EF"/>
    <w:rsid w:val="001859A7"/>
    <w:rsid w:val="001A0D7D"/>
    <w:rsid w:val="002343C2"/>
    <w:rsid w:val="00245258"/>
    <w:rsid w:val="00273418"/>
    <w:rsid w:val="00280E6F"/>
    <w:rsid w:val="002F6B6C"/>
    <w:rsid w:val="0032498B"/>
    <w:rsid w:val="003D02DE"/>
    <w:rsid w:val="0045698C"/>
    <w:rsid w:val="00487738"/>
    <w:rsid w:val="004A70BF"/>
    <w:rsid w:val="004B65B9"/>
    <w:rsid w:val="004C5A9E"/>
    <w:rsid w:val="00500E33"/>
    <w:rsid w:val="005502C8"/>
    <w:rsid w:val="00621E81"/>
    <w:rsid w:val="00622996"/>
    <w:rsid w:val="006B2205"/>
    <w:rsid w:val="00724512"/>
    <w:rsid w:val="007C3FAF"/>
    <w:rsid w:val="00862F2C"/>
    <w:rsid w:val="00884F3E"/>
    <w:rsid w:val="008A7D21"/>
    <w:rsid w:val="00924E21"/>
    <w:rsid w:val="009505A4"/>
    <w:rsid w:val="009A305E"/>
    <w:rsid w:val="009A605E"/>
    <w:rsid w:val="00A07C1F"/>
    <w:rsid w:val="00A31DB6"/>
    <w:rsid w:val="00A53721"/>
    <w:rsid w:val="00AC244B"/>
    <w:rsid w:val="00B31E9C"/>
    <w:rsid w:val="00B40337"/>
    <w:rsid w:val="00B85F2B"/>
    <w:rsid w:val="00C8034B"/>
    <w:rsid w:val="00C93AD1"/>
    <w:rsid w:val="00CC5438"/>
    <w:rsid w:val="00CF77DF"/>
    <w:rsid w:val="00D03F09"/>
    <w:rsid w:val="00D049EF"/>
    <w:rsid w:val="00D23268"/>
    <w:rsid w:val="00D27024"/>
    <w:rsid w:val="00D64C64"/>
    <w:rsid w:val="00D86863"/>
    <w:rsid w:val="00D901B0"/>
    <w:rsid w:val="00D90395"/>
    <w:rsid w:val="00DD6B02"/>
    <w:rsid w:val="00DF4BA9"/>
    <w:rsid w:val="00E0668A"/>
    <w:rsid w:val="00E6685B"/>
    <w:rsid w:val="00EA47EF"/>
    <w:rsid w:val="00ED3DE8"/>
    <w:rsid w:val="00EE0393"/>
    <w:rsid w:val="00F15111"/>
    <w:rsid w:val="00F55267"/>
    <w:rsid w:val="00F62D46"/>
    <w:rsid w:val="00FA7197"/>
    <w:rsid w:val="00FD203E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8F4E1-C95B-48FA-80BB-72B3133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F15111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C8034B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unhideWhenUsed/>
    <w:rsid w:val="00245258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05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05A4"/>
    <w:rPr>
      <w:rFonts w:ascii="Tahoma" w:eastAsiaTheme="minorHAnsi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7</cp:revision>
  <cp:lastPrinted>2023-10-13T05:01:00Z</cp:lastPrinted>
  <dcterms:created xsi:type="dcterms:W3CDTF">2024-02-28T11:17:00Z</dcterms:created>
  <dcterms:modified xsi:type="dcterms:W3CDTF">2024-03-06T06:00:00Z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