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293"/>
        </w:tabs>
        <w:ind w:left="5529" w:right="0" w:firstLine="0"/>
        <w:rPr/>
      </w:pPr>
      <w:r w:rsidDel="00000000" w:rsidR="00000000" w:rsidRPr="00000000">
        <w:rPr>
          <w:rtl w:val="0"/>
        </w:rPr>
        <w:t xml:space="preserve">Ignalinos rajono savivaldybės švietimo stebėsenos rodiklių sąrašo ir aprašų</w:t>
      </w:r>
    </w:p>
    <w:p w:rsidR="00000000" w:rsidDel="00000000" w:rsidP="00000000" w:rsidRDefault="00000000" w:rsidRPr="00000000" w14:paraId="00000002">
      <w:pPr>
        <w:tabs>
          <w:tab w:val="left" w:leader="none" w:pos="1293"/>
        </w:tabs>
        <w:ind w:left="5529" w:right="0" w:firstLine="0"/>
        <w:rPr/>
      </w:pPr>
      <w:r w:rsidDel="00000000" w:rsidR="00000000" w:rsidRPr="00000000">
        <w:rPr>
          <w:rtl w:val="0"/>
        </w:rPr>
        <w:t xml:space="preserve">2 priedas</w:t>
      </w:r>
    </w:p>
    <w:p w:rsidR="00000000" w:rsidDel="00000000" w:rsidP="00000000" w:rsidRDefault="00000000" w:rsidRPr="00000000" w14:paraId="00000003">
      <w:pPr>
        <w:tabs>
          <w:tab w:val="left" w:leader="none" w:pos="1293"/>
        </w:tabs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293"/>
        </w:tabs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PAMOKOS / UGDYMO VEIKLOS PLANO FORMA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293"/>
        </w:tabs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Ignalinos rajono savivaldybės švietimo stebėsenos rodikliui</w:t>
      </w:r>
    </w:p>
    <w:p w:rsidR="00000000" w:rsidDel="00000000" w:rsidP="00000000" w:rsidRDefault="00000000" w:rsidRPr="00000000" w14:paraId="00000006">
      <w:pPr>
        <w:tabs>
          <w:tab w:val="left" w:leader="none" w:pos="1293"/>
        </w:tabs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„Pamokų, kuriose buvo integruotas kultūrinis ugdymas, skaičius“ apskaičiuoti</w:t>
      </w:r>
    </w:p>
    <w:p w:rsidR="00000000" w:rsidDel="00000000" w:rsidP="00000000" w:rsidRDefault="00000000" w:rsidRPr="00000000" w14:paraId="00000007">
      <w:pPr>
        <w:tabs>
          <w:tab w:val="left" w:leader="none" w:pos="1293"/>
        </w:tabs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Ind w:w="-211.0" w:type="dxa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3538"/>
        <w:gridCol w:w="6090"/>
        <w:tblGridChange w:id="0">
          <w:tblGrid>
            <w:gridCol w:w="3538"/>
            <w:gridCol w:w="6090"/>
          </w:tblGrid>
        </w:tblGridChange>
      </w:tblGrid>
      <w:tr>
        <w:trPr>
          <w:cantSplit w:val="0"/>
          <w:trHeight w:val="438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tabs>
                <w:tab w:val="left" w:leader="none" w:pos="1293"/>
              </w:tabs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Mokomasis dalykas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tabs>
                <w:tab w:val="left" w:leader="none" w:pos="1293"/>
              </w:tabs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Lietuvių kalba ir literatūra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tabs>
                <w:tab w:val="left" w:leader="none" w:pos="1293"/>
              </w:tabs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Tema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tabs>
                <w:tab w:val="left" w:leader="none" w:pos="1293"/>
              </w:tabs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Moljero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veikalas „</w:t>
            </w:r>
            <w:r w:rsidDel="00000000" w:rsidR="00000000" w:rsidRPr="00000000">
              <w:rPr>
                <w:rtl w:val="0"/>
              </w:rPr>
              <w:t xml:space="preserve">Tartiufas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“ kaip socialinė drama.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tabs>
                <w:tab w:val="left" w:leader="none" w:pos="1293"/>
              </w:tabs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Klasė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tabs>
                <w:tab w:val="left" w:leader="none" w:pos="1293"/>
              </w:tabs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II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klasė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2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tabs>
                <w:tab w:val="left" w:leader="none" w:pos="1293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Ugdymo tikslas</w:t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1293"/>
              </w:tabs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Kokias bendrąsias ir dalykines kompetencijas ugdysis mokiniai?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tabs>
                <w:tab w:val="left" w:leader="none" w:pos="1293"/>
              </w:tabs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Mokiniai ugdysis: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1293"/>
              </w:tabs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Kultūrinę kompetenciją (mokiniai gilins žinias apie teatro  meną, vaidybos tradicijas ir simboliką);</w:t>
              <w:br w:type="textWrapping"/>
              <w:t xml:space="preserve">Kūrybiškumo kompetenciją (taikys įgytas žinias praktiškai, kurdami vaidinimus, mokydamiesi viešojo kalbėjimo);</w:t>
              <w:br w:type="textWrapping"/>
              <w:t xml:space="preserve">Pažinimo kompetenciją (analizuos kūrinio interpretavimą spektaklyje, nagrinės simboliką).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1293"/>
              </w:tabs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Komunikavimo kompetenciją (gebės suprasti, kurti ir perduoti įgytas spektaklio metu žinias)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2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tabs>
                <w:tab w:val="left" w:leader="none" w:pos="1293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Mokymo(si) uždavinys</w:t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1293"/>
              </w:tabs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Ko mokiniai išmoks?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tabs>
                <w:tab w:val="left" w:leader="none" w:pos="1293"/>
              </w:tabs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rtl w:val="0"/>
              </w:rPr>
              <w:t xml:space="preserve">Mokiniai stebėdami originalių idėjų įgyvendinimą, ugdys meninius gebėjimus, gebės suvokti dramos kūrinį ir jį interpretuoti.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3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tabs>
                <w:tab w:val="left" w:leader="none" w:pos="1293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Trumpas aprašymas</w:t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1293"/>
              </w:tabs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Kultūrinio ugdymo aplinkoje (muziejuje, meno mokykloje, parodoje, bibliotekoje, pas kultūros srities partnerius ir pan.) vykusios pamokos / ugdymo veiklos ar pamokos, kurioje tiesiogiai dalyvavo kūrėjai / tyrėjai / menininkai, trumpas aprašymas. </w:t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1293"/>
              </w:tabs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Jei yra, papildomai nurodyti, pvz., kultūrinės edukacijos aprašymo nuorodą internete ir pan.  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tabs>
                <w:tab w:val="left" w:leader="none" w:pos="1293"/>
              </w:tabs>
              <w:jc w:val="left"/>
              <w:rPr/>
            </w:pPr>
            <w:r w:rsidDel="00000000" w:rsidR="00000000" w:rsidRPr="00000000">
              <w:rPr>
                <w:i w:val="0"/>
                <w:iCs w:val="0"/>
                <w:smallCaps w:val="0"/>
                <w:color w:val="000000"/>
                <w:rtl w:val="0"/>
              </w:rPr>
              <w:t xml:space="preserve">Šio renginio metu mokiniai susipažino su Vilniuje esančiu Nacionaliniu dramos teatru, žiūrėjo spektaklį „</w:t>
            </w:r>
            <w:r w:rsidDel="00000000" w:rsidR="00000000" w:rsidRPr="00000000">
              <w:rPr>
                <w:rtl w:val="0"/>
              </w:rPr>
              <w:t xml:space="preserve">Tartiufas</w:t>
            </w:r>
            <w:r w:rsidDel="00000000" w:rsidR="00000000" w:rsidRPr="00000000">
              <w:rPr>
                <w:i w:val="0"/>
                <w:iCs w:val="0"/>
                <w:smallCaps w:val="0"/>
                <w:color w:val="000000"/>
                <w:rtl w:val="0"/>
              </w:rPr>
              <w:t xml:space="preserve">“. </w:t>
            </w:r>
            <w:r w:rsidDel="00000000" w:rsidR="00000000" w:rsidRPr="00000000">
              <w:rPr>
                <w:rtl w:val="0"/>
              </w:rPr>
              <w:t xml:space="preserve">Tartiufas – tai šių dienų „herojus“. Tobulas prisitaikėlis, karjeristas, pragmatikas ir ištvirkėlis. Siekdamas savo tikslų šis personažas nesibaido jokių priemonių. Žinoma, spektaklyje jis neapsimetinėja šventuoliu; jis greičiau yra puikus viešųjų ryšių specialistas, gerai suprantantis, kad nėra geresnio įrankio mulkinti lengvatikius už moralę, kuria jis ciniškai manipuliuoja. Veidmainystė ir melas jam tėra įvaizdžio. </w:t>
            </w:r>
            <w:r w:rsidDel="00000000" w:rsidR="00000000" w:rsidRPr="00000000">
              <w:rPr>
                <w:rtl w:val="0"/>
              </w:rPr>
              <w:t xml:space="preserve">Spektaklio metu stebėjo ir analizavo kaip režisierius O. Koršunovas interpretavo Moljero „Tartiufą”.</w:t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1293"/>
              </w:tabs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4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tabs>
                <w:tab w:val="left" w:leader="none" w:pos="1293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Įgytų žinių ir / ar gebėjimų poreikis kasdieniame gyvenime</w:t>
            </w:r>
          </w:p>
          <w:p w:rsidR="00000000" w:rsidDel="00000000" w:rsidP="00000000" w:rsidRDefault="00000000" w:rsidRPr="00000000" w14:paraId="0000001C">
            <w:pPr>
              <w:tabs>
                <w:tab w:val="left" w:leader="none" w:pos="1293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Keli konkretūs pavyzdžiai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tabs>
                <w:tab w:val="left" w:leader="none" w:pos="1293"/>
              </w:tabs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Gebės realiame gyvenime 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rtl w:val="0"/>
              </w:rPr>
              <w:t xml:space="preserve">įsigilinti, kaip  neapykanta  formuoja skirtumus  ir tampa visa  ko priežastimi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. Suvoks, </w:t>
            </w:r>
            <w:r w:rsidDel="00000000" w:rsidR="00000000" w:rsidRPr="00000000">
              <w:rPr>
                <w:rtl w:val="0"/>
              </w:rPr>
              <w:t xml:space="preserve">kad veidmainystė ir melas blogi pagalbininkai gyvenime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 Vertins ir puoselės žmogiškąsias vertybes.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tabs>
                <w:tab w:val="left" w:leader="none" w:pos="1293"/>
              </w:tabs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Data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tabs>
                <w:tab w:val="left" w:leader="none" w:pos="1293"/>
              </w:tabs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11/11/25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tabs>
                <w:tab w:val="left" w:leader="none" w:pos="1293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Vieta</w:t>
            </w:r>
          </w:p>
          <w:p w:rsidR="00000000" w:rsidDel="00000000" w:rsidP="00000000" w:rsidRDefault="00000000" w:rsidRPr="00000000" w14:paraId="00000021">
            <w:pPr>
              <w:tabs>
                <w:tab w:val="left" w:leader="none" w:pos="1293"/>
              </w:tabs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Paprasta klasė, mokyklos laboratorija, ... Jei išvyka – adresas (ir internetinis), kontaktai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tabs>
                <w:tab w:val="left" w:leader="none" w:pos="1293"/>
              </w:tabs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rtl w:val="0"/>
              </w:rPr>
              <w:t xml:space="preserve">Vilniaus nacionalinis dramos teatras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tabs>
                <w:tab w:val="left" w:leader="none" w:pos="1293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Trukmė</w:t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1293"/>
              </w:tabs>
              <w:rPr/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Nurodyti  trukmę įprastomis val. ir min.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tabs>
                <w:tab w:val="left" w:leader="none" w:pos="1293"/>
              </w:tabs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val. 30 min.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tabs>
                <w:tab w:val="left" w:leader="none" w:pos="1293"/>
              </w:tabs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Mokyklos pavadinimas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tabs>
                <w:tab w:val="left" w:leader="none" w:pos="1293"/>
              </w:tabs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Ignalinos r. Vidiškių gimnazija</w:t>
            </w:r>
          </w:p>
        </w:tc>
      </w:tr>
      <w:tr>
        <w:trPr>
          <w:cantSplit w:val="0"/>
          <w:trHeight w:val="827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tabs>
                <w:tab w:val="left" w:leader="none" w:pos="1293"/>
              </w:tabs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Mokytojo patarimai po pamokos / ugdymo veiklos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tabs>
                <w:tab w:val="left" w:leader="none" w:pos="1293"/>
              </w:tabs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Puiki edukacinė veikla, siūlau pasinaudoti (teatro bilietai mokomi)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tabs>
                <w:tab w:val="left" w:leader="none" w:pos="1293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Mokytojo vardas, pavardė</w:t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1293"/>
              </w:tabs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Neprivaloma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tabs>
                <w:tab w:val="left" w:leader="none" w:pos="1293"/>
              </w:tabs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Danguolė </w:t>
            </w:r>
            <w:r w:rsidDel="00000000" w:rsidR="00000000" w:rsidRPr="00000000">
              <w:rPr>
                <w:rtl w:val="0"/>
              </w:rPr>
              <w:t xml:space="preserve">Šalkauskienė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tabs>
          <w:tab w:val="left" w:leader="none" w:pos="1293"/>
        </w:tabs>
        <w:jc w:val="center"/>
        <w:rPr/>
      </w:pPr>
      <w:r w:rsidDel="00000000" w:rsidR="00000000" w:rsidRPr="00000000">
        <w:rPr>
          <w:rtl w:val="0"/>
        </w:rPr>
        <w:t xml:space="preserve">___________________________</w:t>
      </w:r>
    </w:p>
    <w:p w:rsidR="00000000" w:rsidDel="00000000" w:rsidP="00000000" w:rsidRDefault="00000000" w:rsidRPr="00000000" w14:paraId="0000002E">
      <w:pPr>
        <w:tabs>
          <w:tab w:val="left" w:leader="none" w:pos="1293"/>
        </w:tabs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1"/>
        <w:tabs>
          <w:tab w:val="left" w:leader="none" w:pos="1293"/>
        </w:tabs>
        <w:rPr/>
        <w:sectPr>
          <w:headerReference r:id="rId6" w:type="default"/>
          <w:headerReference r:id="rId7" w:type="even"/>
          <w:footerReference r:id="rId8" w:type="default"/>
          <w:pgSz w:h="16838" w:w="11906" w:orient="portrait"/>
          <w:pgMar w:bottom="1417" w:top="1417" w:left="1134" w:right="1134" w:header="1134" w:footer="1134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17" w:top="1417" w:left="1134" w:right="1134" w:header="1134" w:footer="113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lt"/>
      </w:rPr>
    </w:rPrDefault>
    <w:pPrDefault>
      <w:pPr>
        <w:widowControl w:val="0"/>
        <w:tabs>
          <w:tab w:val="left" w:leader="none" w:pos="1293"/>
        </w:tabs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432" w:hanging="432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widowControl w:val="1"/>
      <w:ind w:left="0" w:right="66" w:firstLine="0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widowControl w:val="1"/>
      <w:ind w:left="0" w:right="66" w:firstLine="0"/>
    </w:pPr>
    <w:rPr>
      <w:b w:val="1"/>
      <w:bCs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spacing w:after="60" w:before="240" w:lineRule="auto"/>
      <w:ind w:left="1008" w:hanging="1008"/>
    </w:pPr>
    <w:rPr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widowControl w:val="1"/>
      <w:spacing w:after="120" w:before="240" w:lineRule="auto"/>
      <w:jc w:val="center"/>
    </w:pPr>
    <w:rPr>
      <w:rFonts w:ascii="Arial" w:cs="Arial" w:eastAsia="Arial" w:hAnsi="Arial"/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KANCELIARIJA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</Properties>
</file>