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F78C6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1F493659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56B6B5E5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3A6CE98F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1075C111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7F48E4D8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2A8020C4" w14:textId="77777777" w:rsidR="007C3FAF" w:rsidRPr="00D9771E" w:rsidRDefault="00DC01E3" w:rsidP="00A20373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055687" w14:paraId="02B7CFEF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107C760E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11C9B880" w14:textId="0FF96F88" w:rsidR="00055687" w:rsidRPr="00D9771E" w:rsidRDefault="007A7B77" w:rsidP="00292F82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 w:rsidRPr="007A7B77">
              <w:rPr>
                <w:rFonts w:cs="Times New Roman"/>
                <w:bCs/>
                <w:szCs w:val="24"/>
              </w:rPr>
              <w:t>Renginys su Ignalinos rajono savivaldybės viešąja biblioteka pagal ilgalaikę 7 klasių kultūrinio ugdymo programą „Mūsų kraštas ir kraštiečiai“ gimnazijos muziejuje ,,Prof. Česlovas Kudaba, jo gyvenimo ir veiklos pažinimas“. TŪM I projekto veikla.</w:t>
            </w:r>
          </w:p>
        </w:tc>
      </w:tr>
      <w:tr w:rsidR="00055687" w14:paraId="34750FE6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60B0B799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76805620" w14:textId="7C8DBA64" w:rsidR="00055687" w:rsidRPr="00D9771E" w:rsidRDefault="00DC01E3" w:rsidP="00A2037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  <w:r w:rsidR="007A7B77">
              <w:rPr>
                <w:rFonts w:cs="Times New Roman"/>
                <w:bCs/>
                <w:szCs w:val="24"/>
              </w:rPr>
              <w:t xml:space="preserve">a, </w:t>
            </w:r>
            <w:r w:rsidR="00B771D1">
              <w:rPr>
                <w:rFonts w:cs="Times New Roman"/>
                <w:bCs/>
                <w:szCs w:val="24"/>
              </w:rPr>
              <w:t>b</w:t>
            </w:r>
            <w:r w:rsidR="00126995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klas</w:t>
            </w:r>
            <w:r w:rsidR="00126995">
              <w:rPr>
                <w:rFonts w:cs="Times New Roman"/>
                <w:bCs/>
                <w:szCs w:val="24"/>
              </w:rPr>
              <w:t>ė</w:t>
            </w:r>
            <w:r w:rsidR="00CA1D0F">
              <w:rPr>
                <w:rFonts w:cs="Times New Roman"/>
                <w:bCs/>
                <w:szCs w:val="24"/>
              </w:rPr>
              <w:t>s</w:t>
            </w:r>
            <w:bookmarkStart w:id="0" w:name="_GoBack"/>
            <w:bookmarkEnd w:id="0"/>
          </w:p>
        </w:tc>
      </w:tr>
      <w:tr w:rsidR="00055687" w14:paraId="2839C5AB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09EFB137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4B6E4978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61056D2A" w14:textId="12A83285" w:rsidR="00055687" w:rsidRPr="00D9771E" w:rsidRDefault="007A7B77" w:rsidP="007A7B77">
            <w:pPr>
              <w:jc w:val="both"/>
              <w:rPr>
                <w:rFonts w:cs="Times New Roman"/>
                <w:bCs/>
                <w:szCs w:val="24"/>
              </w:rPr>
            </w:pPr>
            <w:r w:rsidRPr="007A7B77">
              <w:rPr>
                <w:rFonts w:cs="Times New Roman"/>
                <w:bCs/>
                <w:szCs w:val="24"/>
              </w:rPr>
              <w:t>Ugdyti mokinių pažinimo, pilietiškumo, kūrybiškumo, kultūrinę ir komunikavimo kompetencijas</w:t>
            </w:r>
            <w:r>
              <w:rPr>
                <w:rFonts w:cs="Times New Roman"/>
                <w:bCs/>
                <w:szCs w:val="24"/>
              </w:rPr>
              <w:t xml:space="preserve">: </w:t>
            </w:r>
            <w:r w:rsidRPr="007A7B77">
              <w:rPr>
                <w:rFonts w:cs="Times New Roman"/>
                <w:bCs/>
                <w:szCs w:val="24"/>
              </w:rPr>
              <w:t>suteikti žinių apie prof. Česlovą Kudabą, skatinti mokinius tyrinėti, kurti, dirbti komandoje, suprasti kultūrinį paveldą bei gebėti prasmingai bendrauti ir pristatyti savo idėjas.</w:t>
            </w:r>
          </w:p>
        </w:tc>
      </w:tr>
      <w:tr w:rsidR="00055687" w14:paraId="78098860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4B60E9B1" w14:textId="77777777"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5FF20A75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63881E91" w14:textId="57EDC761" w:rsidR="00055687" w:rsidRPr="00DC01E3" w:rsidRDefault="007A7B77" w:rsidP="00A20373">
            <w:pPr>
              <w:pStyle w:val="Antrat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Susipažinę</w:t>
            </w:r>
            <w:r w:rsidRPr="007A7B77">
              <w:rPr>
                <w:b w:val="0"/>
                <w:sz w:val="24"/>
                <w:szCs w:val="24"/>
              </w:rPr>
              <w:t xml:space="preserve"> su profesoriaus Česlovo Kudabos gyvenimu ir veikla, išklaus</w:t>
            </w:r>
            <w:r>
              <w:rPr>
                <w:b w:val="0"/>
                <w:sz w:val="24"/>
                <w:szCs w:val="24"/>
              </w:rPr>
              <w:t>ę</w:t>
            </w:r>
            <w:r w:rsidRPr="007A7B7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viešosios bibliotekos vedėjos </w:t>
            </w:r>
            <w:r w:rsidRPr="007A7B77">
              <w:rPr>
                <w:b w:val="0"/>
                <w:sz w:val="24"/>
                <w:szCs w:val="24"/>
              </w:rPr>
              <w:t xml:space="preserve">edukacinį pasakojimą </w:t>
            </w:r>
            <w:r>
              <w:rPr>
                <w:b w:val="0"/>
                <w:sz w:val="24"/>
                <w:szCs w:val="24"/>
              </w:rPr>
              <w:t xml:space="preserve">mokyklos </w:t>
            </w:r>
            <w:r w:rsidRPr="007A7B77">
              <w:rPr>
                <w:b w:val="0"/>
                <w:sz w:val="24"/>
                <w:szCs w:val="24"/>
              </w:rPr>
              <w:t xml:space="preserve">muziejuje, </w:t>
            </w:r>
            <w:r>
              <w:rPr>
                <w:b w:val="0"/>
                <w:sz w:val="24"/>
                <w:szCs w:val="24"/>
              </w:rPr>
              <w:t>mokiniai</w:t>
            </w:r>
            <w:r w:rsidRPr="007A7B77">
              <w:rPr>
                <w:b w:val="0"/>
                <w:sz w:val="24"/>
                <w:szCs w:val="24"/>
              </w:rPr>
              <w:t xml:space="preserve"> dirbdami grupėse kūrybiškai interpretuoja gautą informacij</w:t>
            </w:r>
            <w:r w:rsidR="007D2A17">
              <w:rPr>
                <w:b w:val="0"/>
                <w:sz w:val="24"/>
                <w:szCs w:val="24"/>
              </w:rPr>
              <w:t xml:space="preserve">ą – </w:t>
            </w:r>
            <w:r w:rsidRPr="007A7B77">
              <w:rPr>
                <w:b w:val="0"/>
                <w:sz w:val="24"/>
                <w:szCs w:val="24"/>
              </w:rPr>
              <w:t>kur</w:t>
            </w:r>
            <w:r>
              <w:rPr>
                <w:b w:val="0"/>
                <w:sz w:val="24"/>
                <w:szCs w:val="24"/>
              </w:rPr>
              <w:t>ia</w:t>
            </w:r>
            <w:r w:rsidRPr="007A7B77">
              <w:rPr>
                <w:b w:val="0"/>
                <w:sz w:val="24"/>
                <w:szCs w:val="24"/>
              </w:rPr>
              <w:t xml:space="preserve"> ir pristat</w:t>
            </w:r>
            <w:r>
              <w:rPr>
                <w:b w:val="0"/>
                <w:sz w:val="24"/>
                <w:szCs w:val="24"/>
              </w:rPr>
              <w:t>o</w:t>
            </w:r>
            <w:r w:rsidRPr="007A7B77">
              <w:rPr>
                <w:b w:val="0"/>
                <w:sz w:val="24"/>
                <w:szCs w:val="24"/>
              </w:rPr>
              <w:t xml:space="preserve"> kūrybinius projektus, taip pritaikydami žinias apie Č. Kudabą naujuose, netradiciniuose kontekstuose.</w:t>
            </w:r>
          </w:p>
        </w:tc>
      </w:tr>
      <w:tr w:rsidR="001F167E" w14:paraId="677EF314" w14:textId="77777777" w:rsidTr="007D2A17">
        <w:trPr>
          <w:trHeight w:val="3325"/>
        </w:trPr>
        <w:tc>
          <w:tcPr>
            <w:tcW w:w="3539" w:type="dxa"/>
            <w:vAlign w:val="center"/>
          </w:tcPr>
          <w:p w14:paraId="20C1B3B4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4217B85D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23089590" w14:textId="6F7FD78F" w:rsidR="007D2A17" w:rsidRPr="007D2A17" w:rsidRDefault="001F167E" w:rsidP="007D2A1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40B70960" w14:textId="37B825C7" w:rsidR="007D2A17" w:rsidRPr="007D2A17" w:rsidRDefault="007D2A17" w:rsidP="007D2A17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Veiklą organizavo mūsų partneriai – Ignalinos viešosios bibliotekos atstovai. </w:t>
            </w:r>
            <w:r w:rsidRPr="007D2A17">
              <w:rPr>
                <w:rFonts w:cs="Times New Roman"/>
                <w:bCs/>
                <w:szCs w:val="24"/>
              </w:rPr>
              <w:t>Veikla vyko muziejuje, kur mokiniai supažindinti su Česlovo Kudabos biografija, veikla ir indėliu Lietuvai.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7D2A17">
              <w:rPr>
                <w:rFonts w:cs="Times New Roman"/>
                <w:bCs/>
                <w:szCs w:val="24"/>
              </w:rPr>
              <w:t>Po informacinės dalies mokiniai dirbo grupėmis, vykdė kūrybinę užduotį, integruojančią kultūrinį pažinimą, kūrybiškumą ir komunikavimo kompetencijas.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7D2A17">
              <w:rPr>
                <w:rFonts w:cs="Times New Roman"/>
                <w:bCs/>
                <w:szCs w:val="24"/>
              </w:rPr>
              <w:t>Pristatydami savo darbus, mokiniai improvizavo, kūrė scenarijus, pasakojo, kaip Č. Kudaba galėtų skleisti savo idėjas Marse.</w:t>
            </w:r>
          </w:p>
          <w:p w14:paraId="1305FB1B" w14:textId="1D4E0F89" w:rsidR="00EE7E2E" w:rsidRPr="00D9771E" w:rsidRDefault="007D2A17" w:rsidP="007D2A17">
            <w:pPr>
              <w:jc w:val="both"/>
              <w:rPr>
                <w:rFonts w:cs="Times New Roman"/>
                <w:bCs/>
                <w:szCs w:val="24"/>
              </w:rPr>
            </w:pPr>
            <w:r w:rsidRPr="007D2A17">
              <w:rPr>
                <w:rFonts w:cs="Times New Roman"/>
                <w:bCs/>
                <w:szCs w:val="24"/>
              </w:rPr>
              <w:t>Interaktyvios viktorinos metu mokiniai pakartojo ir įtvirtino sužinotą informaciją.</w:t>
            </w:r>
          </w:p>
        </w:tc>
      </w:tr>
      <w:tr w:rsidR="00862F2C" w14:paraId="1EAA0EEA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0C402FEB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157B0232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2B0FF801" w14:textId="243B4BCF" w:rsidR="00862F2C" w:rsidRPr="00D9771E" w:rsidRDefault="007D2A17" w:rsidP="007D2A17">
            <w:pPr>
              <w:rPr>
                <w:rFonts w:cs="Times New Roman"/>
                <w:bCs/>
                <w:szCs w:val="24"/>
              </w:rPr>
            </w:pPr>
            <w:r w:rsidRPr="007D2A17">
              <w:rPr>
                <w:rFonts w:cs="Times New Roman"/>
                <w:bCs/>
                <w:szCs w:val="24"/>
              </w:rPr>
              <w:t>Ugdyti komandinio darbo, problemų sprendimo ir kūrybinio mąstymo gebėjimai.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7D2A17">
              <w:rPr>
                <w:rFonts w:cs="Times New Roman"/>
                <w:bCs/>
                <w:szCs w:val="24"/>
              </w:rPr>
              <w:t>Mokiniai praplėtė žinias apie prof. Č. Kudabą.</w:t>
            </w:r>
          </w:p>
        </w:tc>
      </w:tr>
      <w:tr w:rsidR="00055687" w14:paraId="1C4D7B8D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7D0AE498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25F0A743" w14:textId="03DDAC8F" w:rsidR="00055687" w:rsidRPr="00D9771E" w:rsidRDefault="00E95002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2026-03-17 (7b), 2026-03-18 (7a)</w:t>
            </w:r>
          </w:p>
        </w:tc>
      </w:tr>
      <w:tr w:rsidR="001F167E" w14:paraId="74654A93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63898B44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2EB08EA3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465CE260" w14:textId="7F4FC34B" w:rsidR="001F167E" w:rsidRPr="00D9771E" w:rsidRDefault="007D2A17" w:rsidP="00D9771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gimnazijos muziejus</w:t>
            </w:r>
          </w:p>
        </w:tc>
      </w:tr>
      <w:tr w:rsidR="001F167E" w14:paraId="158E5132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6CEAD11A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0764BB46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3E712467" w14:textId="7725718D" w:rsidR="001F167E" w:rsidRPr="00D9771E" w:rsidRDefault="007D2A17" w:rsidP="001F167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Po 2</w:t>
            </w:r>
            <w:r w:rsidR="00D9771E" w:rsidRPr="00D9771E">
              <w:rPr>
                <w:rFonts w:cs="Times New Roman"/>
                <w:bCs/>
                <w:szCs w:val="24"/>
              </w:rPr>
              <w:t xml:space="preserve"> val. </w:t>
            </w:r>
            <w:r>
              <w:rPr>
                <w:rFonts w:cs="Times New Roman"/>
                <w:bCs/>
                <w:szCs w:val="24"/>
              </w:rPr>
              <w:t>kiekvienai klasei (iš viso 4 val.)</w:t>
            </w:r>
          </w:p>
        </w:tc>
      </w:tr>
      <w:tr w:rsidR="001F167E" w14:paraId="5D382D3E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0FCDB379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616AE74C" w14:textId="77777777" w:rsidR="001F167E" w:rsidRPr="00D9771E" w:rsidRDefault="00D9771E" w:rsidP="00D9771E">
            <w:pPr>
              <w:rPr>
                <w:rFonts w:cs="Times New Roman"/>
                <w:bCs/>
                <w:szCs w:val="24"/>
              </w:rPr>
            </w:pPr>
            <w:r w:rsidRPr="00D9771E"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541B755C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4F2C8D2C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15BCEAD4" w14:textId="1C239E75" w:rsidR="00D9771E" w:rsidRPr="00D9771E" w:rsidRDefault="007D2A17" w:rsidP="00292F82">
            <w:pPr>
              <w:rPr>
                <w:rStyle w:val="eop"/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  <w:r w:rsidRPr="007D2A17">
              <w:rPr>
                <w:rStyle w:val="normaltextrun"/>
                <w:rFonts w:cs="Times New Roman"/>
                <w:bCs/>
                <w:color w:val="000000"/>
                <w:szCs w:val="24"/>
                <w:shd w:val="clear" w:color="auto" w:fill="FFFFFF"/>
              </w:rPr>
              <w:t>Mokiniai aktyviai dalyvavo visose veiklos dalyse: klausėsi pasakojimo, kūrybiškai atliko užduotis, savarankiškai organizavo grupės darbą.</w:t>
            </w:r>
            <w:r>
              <w:rPr>
                <w:rStyle w:val="normaltextrun"/>
                <w:rFonts w:cs="Times New Roman"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>Siūlome t</w:t>
            </w:r>
            <w:r w:rsidRPr="007D2A17">
              <w:rPr>
                <w:rStyle w:val="normaltextrun"/>
                <w:rFonts w:cs="Times New Roman"/>
                <w:bCs/>
                <w:color w:val="000000"/>
                <w:szCs w:val="24"/>
                <w:shd w:val="clear" w:color="auto" w:fill="FFFFFF"/>
              </w:rPr>
              <w:t>ęsti kultūrinio ugdymo veiklas muziejuje ir bibliotekoje</w:t>
            </w:r>
          </w:p>
          <w:p w14:paraId="32C8957C" w14:textId="77777777" w:rsidR="001F167E" w:rsidRPr="00D9771E" w:rsidRDefault="001F167E" w:rsidP="007D2A17">
            <w:pPr>
              <w:rPr>
                <w:rFonts w:cs="Times New Roman"/>
                <w:bCs/>
                <w:szCs w:val="24"/>
              </w:rPr>
            </w:pPr>
          </w:p>
        </w:tc>
      </w:tr>
      <w:tr w:rsidR="001F167E" w14:paraId="6D2F4B65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3C7236EB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4B1AFD0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2FB27B41" w14:textId="77777777" w:rsidR="001F167E" w:rsidRDefault="001F167E" w:rsidP="001F167E">
            <w:pPr>
              <w:jc w:val="center"/>
              <w:rPr>
                <w:b/>
                <w:szCs w:val="24"/>
              </w:rPr>
            </w:pPr>
          </w:p>
        </w:tc>
      </w:tr>
    </w:tbl>
    <w:p w14:paraId="4A6C5947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7"/>
    <w:rsid w:val="00055687"/>
    <w:rsid w:val="000574F9"/>
    <w:rsid w:val="00094A6D"/>
    <w:rsid w:val="00121E34"/>
    <w:rsid w:val="00126995"/>
    <w:rsid w:val="001359EF"/>
    <w:rsid w:val="001F167E"/>
    <w:rsid w:val="00212B02"/>
    <w:rsid w:val="00285B0E"/>
    <w:rsid w:val="00292F82"/>
    <w:rsid w:val="0032491C"/>
    <w:rsid w:val="0032498B"/>
    <w:rsid w:val="0035489C"/>
    <w:rsid w:val="003D02DE"/>
    <w:rsid w:val="00450E51"/>
    <w:rsid w:val="00585B5C"/>
    <w:rsid w:val="00630DBB"/>
    <w:rsid w:val="007A7B77"/>
    <w:rsid w:val="007C3FAF"/>
    <w:rsid w:val="007D2A17"/>
    <w:rsid w:val="00862F2C"/>
    <w:rsid w:val="00924E21"/>
    <w:rsid w:val="00A20373"/>
    <w:rsid w:val="00A53721"/>
    <w:rsid w:val="00AA6DCA"/>
    <w:rsid w:val="00AB0D49"/>
    <w:rsid w:val="00B40337"/>
    <w:rsid w:val="00B74019"/>
    <w:rsid w:val="00B771D1"/>
    <w:rsid w:val="00BB5030"/>
    <w:rsid w:val="00C2314C"/>
    <w:rsid w:val="00C571B2"/>
    <w:rsid w:val="00CA1D0F"/>
    <w:rsid w:val="00D630DC"/>
    <w:rsid w:val="00D72C51"/>
    <w:rsid w:val="00D753B6"/>
    <w:rsid w:val="00D90395"/>
    <w:rsid w:val="00D9771E"/>
    <w:rsid w:val="00DA7280"/>
    <w:rsid w:val="00DC01E3"/>
    <w:rsid w:val="00E0668A"/>
    <w:rsid w:val="00E42E19"/>
    <w:rsid w:val="00E6685B"/>
    <w:rsid w:val="00E95002"/>
    <w:rsid w:val="00E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F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1910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4</cp:revision>
  <dcterms:created xsi:type="dcterms:W3CDTF">2026-03-18T14:34:00Z</dcterms:created>
  <dcterms:modified xsi:type="dcterms:W3CDTF">2026-03-18T14:42:00Z</dcterms:modified>
</cp:coreProperties>
</file>