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F94F8" w14:textId="77777777" w:rsidR="00E6685B" w:rsidRPr="00737AA5" w:rsidRDefault="00094A6D" w:rsidP="00094A6D">
      <w:pPr>
        <w:jc w:val="center"/>
        <w:rPr>
          <w:rFonts w:cs="Times New Roman"/>
          <w:b/>
          <w:bCs/>
          <w:szCs w:val="24"/>
        </w:rPr>
      </w:pPr>
      <w:r w:rsidRPr="00737AA5">
        <w:rPr>
          <w:rFonts w:cs="Times New Roman"/>
          <w:b/>
          <w:szCs w:val="24"/>
        </w:rPr>
        <w:t xml:space="preserve">PAMOKOS / </w:t>
      </w:r>
      <w:r w:rsidRPr="00737AA5">
        <w:rPr>
          <w:rFonts w:cs="Times New Roman"/>
          <w:b/>
          <w:bCs/>
          <w:szCs w:val="24"/>
        </w:rPr>
        <w:t>UGDYMO VEIKLOS PLANO FORMA</w:t>
      </w:r>
    </w:p>
    <w:p w14:paraId="72E2C741" w14:textId="77777777" w:rsidR="00094A6D" w:rsidRPr="00737AA5" w:rsidRDefault="00094A6D" w:rsidP="00094A6D">
      <w:pPr>
        <w:jc w:val="center"/>
        <w:rPr>
          <w:rFonts w:cs="Times New Roman"/>
          <w:b/>
          <w:szCs w:val="24"/>
        </w:rPr>
      </w:pPr>
      <w:r w:rsidRPr="00737AA5">
        <w:rPr>
          <w:rFonts w:cs="Times New Roman"/>
          <w:b/>
          <w:szCs w:val="24"/>
        </w:rPr>
        <w:t>Ignalinos rajono savivaldybės švietimo stebėsenos rodikliui</w:t>
      </w:r>
    </w:p>
    <w:p w14:paraId="01030EAA" w14:textId="77777777" w:rsidR="00094A6D" w:rsidRPr="00737AA5" w:rsidRDefault="00094A6D" w:rsidP="00094A6D">
      <w:pPr>
        <w:jc w:val="center"/>
        <w:rPr>
          <w:rFonts w:cs="Times New Roman"/>
          <w:b/>
          <w:szCs w:val="24"/>
        </w:rPr>
      </w:pPr>
      <w:r w:rsidRPr="00737AA5">
        <w:rPr>
          <w:rFonts w:cs="Times New Roman"/>
          <w:b/>
          <w:szCs w:val="24"/>
        </w:rPr>
        <w:t>„</w:t>
      </w:r>
      <w:r w:rsidR="00285B0E" w:rsidRPr="00737AA5">
        <w:rPr>
          <w:rFonts w:cs="Times New Roman"/>
          <w:b/>
          <w:szCs w:val="24"/>
        </w:rPr>
        <w:t>Pamokų, kuriose buvo integruotas kultūrinis ugdymas, skaičius</w:t>
      </w:r>
      <w:r w:rsidRPr="00737AA5">
        <w:rPr>
          <w:rFonts w:cs="Times New Roman"/>
          <w:b/>
          <w:szCs w:val="24"/>
        </w:rPr>
        <w:t>“ apskaičiuoti</w:t>
      </w:r>
    </w:p>
    <w:p w14:paraId="6D564195" w14:textId="77777777" w:rsidR="007C3FAF" w:rsidRPr="00737AA5" w:rsidRDefault="007C3FAF" w:rsidP="00094A6D">
      <w:pPr>
        <w:jc w:val="center"/>
        <w:rPr>
          <w:rFonts w:cs="Times New Roman"/>
          <w:b/>
          <w:szCs w:val="24"/>
        </w:rPr>
      </w:pPr>
    </w:p>
    <w:tbl>
      <w:tblPr>
        <w:tblStyle w:val="Lentelstinklelis"/>
        <w:tblW w:w="0" w:type="auto"/>
        <w:tblLook w:val="04A0" w:firstRow="1" w:lastRow="0" w:firstColumn="1" w:lastColumn="0" w:noHBand="0" w:noVBand="1"/>
      </w:tblPr>
      <w:tblGrid>
        <w:gridCol w:w="3539"/>
        <w:gridCol w:w="6089"/>
      </w:tblGrid>
      <w:tr w:rsidR="007C3FAF" w:rsidRPr="00737AA5" w14:paraId="51033365" w14:textId="77777777" w:rsidTr="0032498B">
        <w:trPr>
          <w:trHeight w:val="438"/>
        </w:trPr>
        <w:tc>
          <w:tcPr>
            <w:tcW w:w="3539" w:type="dxa"/>
            <w:vAlign w:val="center"/>
          </w:tcPr>
          <w:p w14:paraId="211EE951" w14:textId="77777777" w:rsidR="007C3FAF" w:rsidRPr="00737AA5" w:rsidRDefault="007C3FAF" w:rsidP="007C3FAF">
            <w:pPr>
              <w:rPr>
                <w:rFonts w:cs="Times New Roman"/>
                <w:b/>
                <w:szCs w:val="24"/>
              </w:rPr>
            </w:pPr>
            <w:r w:rsidRPr="00737AA5">
              <w:rPr>
                <w:rFonts w:cs="Times New Roman"/>
                <w:b/>
                <w:szCs w:val="24"/>
              </w:rPr>
              <w:t>Mokomasis dalykas</w:t>
            </w:r>
          </w:p>
        </w:tc>
        <w:tc>
          <w:tcPr>
            <w:tcW w:w="6089" w:type="dxa"/>
          </w:tcPr>
          <w:p w14:paraId="39E994EE" w14:textId="77777777" w:rsidR="007C3FAF" w:rsidRPr="00737AA5" w:rsidRDefault="00365A60" w:rsidP="007C3FAF">
            <w:pPr>
              <w:rPr>
                <w:rFonts w:cs="Times New Roman"/>
                <w:b/>
                <w:szCs w:val="24"/>
              </w:rPr>
            </w:pPr>
            <w:r w:rsidRPr="00737AA5">
              <w:rPr>
                <w:rFonts w:cs="Times New Roman"/>
                <w:b/>
                <w:szCs w:val="24"/>
              </w:rPr>
              <w:t>Istorija</w:t>
            </w:r>
          </w:p>
        </w:tc>
      </w:tr>
      <w:tr w:rsidR="00055687" w:rsidRPr="00737AA5" w14:paraId="1705648A" w14:textId="77777777" w:rsidTr="0032498B">
        <w:trPr>
          <w:trHeight w:val="438"/>
        </w:trPr>
        <w:tc>
          <w:tcPr>
            <w:tcW w:w="3539" w:type="dxa"/>
            <w:vAlign w:val="center"/>
          </w:tcPr>
          <w:p w14:paraId="02D787BB" w14:textId="77777777" w:rsidR="00055687" w:rsidRPr="00737AA5" w:rsidRDefault="00055687" w:rsidP="00055687">
            <w:pPr>
              <w:rPr>
                <w:rFonts w:cs="Times New Roman"/>
                <w:b/>
                <w:szCs w:val="24"/>
              </w:rPr>
            </w:pPr>
            <w:r w:rsidRPr="00737AA5">
              <w:rPr>
                <w:rFonts w:cs="Times New Roman"/>
                <w:b/>
                <w:szCs w:val="24"/>
              </w:rPr>
              <w:t>Tema</w:t>
            </w:r>
          </w:p>
        </w:tc>
        <w:tc>
          <w:tcPr>
            <w:tcW w:w="6089" w:type="dxa"/>
          </w:tcPr>
          <w:p w14:paraId="217EC2D7" w14:textId="77777777" w:rsidR="00055687" w:rsidRPr="00737AA5" w:rsidRDefault="00365A60" w:rsidP="008D6C98">
            <w:pPr>
              <w:rPr>
                <w:rFonts w:cs="Times New Roman"/>
                <w:b/>
                <w:szCs w:val="24"/>
              </w:rPr>
            </w:pPr>
            <w:r w:rsidRPr="00737AA5">
              <w:rPr>
                <w:rFonts w:cs="Times New Roman"/>
                <w:b/>
                <w:szCs w:val="24"/>
              </w:rPr>
              <w:t xml:space="preserve">Leonardas da Vinčis –dailininkas ir  išradėjas. Renesanso kultūra ir pasiekimai. </w:t>
            </w:r>
          </w:p>
        </w:tc>
      </w:tr>
      <w:tr w:rsidR="00055687" w:rsidRPr="00737AA5" w14:paraId="46B8391B" w14:textId="77777777" w:rsidTr="0032498B">
        <w:trPr>
          <w:trHeight w:val="438"/>
        </w:trPr>
        <w:tc>
          <w:tcPr>
            <w:tcW w:w="3539" w:type="dxa"/>
            <w:vAlign w:val="center"/>
          </w:tcPr>
          <w:p w14:paraId="44EEAF9D" w14:textId="77777777" w:rsidR="00055687" w:rsidRPr="00737AA5" w:rsidRDefault="00055687" w:rsidP="008D6C98">
            <w:pPr>
              <w:rPr>
                <w:rFonts w:cs="Times New Roman"/>
                <w:b/>
                <w:szCs w:val="24"/>
              </w:rPr>
            </w:pPr>
            <w:r w:rsidRPr="00737AA5">
              <w:rPr>
                <w:rFonts w:cs="Times New Roman"/>
                <w:b/>
                <w:szCs w:val="24"/>
              </w:rPr>
              <w:t>Klasė</w:t>
            </w:r>
          </w:p>
        </w:tc>
        <w:tc>
          <w:tcPr>
            <w:tcW w:w="6089" w:type="dxa"/>
          </w:tcPr>
          <w:p w14:paraId="13D3FDB1" w14:textId="77777777" w:rsidR="00055687" w:rsidRPr="00737AA5" w:rsidRDefault="00365A60" w:rsidP="008D6C98">
            <w:pPr>
              <w:rPr>
                <w:rFonts w:cs="Times New Roman"/>
                <w:b/>
                <w:szCs w:val="24"/>
              </w:rPr>
            </w:pPr>
            <w:r w:rsidRPr="00737AA5">
              <w:rPr>
                <w:rFonts w:cs="Times New Roman"/>
                <w:b/>
                <w:szCs w:val="24"/>
              </w:rPr>
              <w:t>7</w:t>
            </w:r>
          </w:p>
        </w:tc>
      </w:tr>
      <w:tr w:rsidR="00055687" w:rsidRPr="00737AA5" w14:paraId="0E417821" w14:textId="77777777" w:rsidTr="0032498B">
        <w:trPr>
          <w:trHeight w:val="972"/>
        </w:trPr>
        <w:tc>
          <w:tcPr>
            <w:tcW w:w="3539" w:type="dxa"/>
            <w:vAlign w:val="center"/>
          </w:tcPr>
          <w:p w14:paraId="2473976D" w14:textId="77777777" w:rsidR="00055687" w:rsidRPr="00737AA5" w:rsidRDefault="00055687" w:rsidP="008D6C98">
            <w:pPr>
              <w:rPr>
                <w:rFonts w:cs="Times New Roman"/>
                <w:b/>
                <w:szCs w:val="24"/>
              </w:rPr>
            </w:pPr>
            <w:r w:rsidRPr="00737AA5">
              <w:rPr>
                <w:rFonts w:cs="Times New Roman"/>
                <w:b/>
                <w:szCs w:val="24"/>
              </w:rPr>
              <w:t>Ugdymo tikslas</w:t>
            </w:r>
          </w:p>
          <w:p w14:paraId="0185098B" w14:textId="77777777" w:rsidR="00055687" w:rsidRPr="00737AA5" w:rsidRDefault="00055687" w:rsidP="008D6C98">
            <w:pPr>
              <w:rPr>
                <w:rFonts w:cs="Times New Roman"/>
                <w:b/>
                <w:i/>
                <w:szCs w:val="24"/>
              </w:rPr>
            </w:pPr>
            <w:r w:rsidRPr="00737AA5">
              <w:rPr>
                <w:rFonts w:cs="Times New Roman"/>
                <w:i/>
                <w:szCs w:val="24"/>
              </w:rPr>
              <w:t>Kokias bendrąsias ir dalykines kompetencijas ugdysis mokiniai?</w:t>
            </w:r>
          </w:p>
        </w:tc>
        <w:tc>
          <w:tcPr>
            <w:tcW w:w="6089" w:type="dxa"/>
          </w:tcPr>
          <w:p w14:paraId="67CBBDE9" w14:textId="77777777" w:rsidR="00055687" w:rsidRPr="00737AA5" w:rsidRDefault="00404498" w:rsidP="00404498">
            <w:pPr>
              <w:rPr>
                <w:rFonts w:cs="Times New Roman"/>
                <w:b/>
                <w:szCs w:val="24"/>
              </w:rPr>
            </w:pPr>
            <w:r w:rsidRPr="00737AA5">
              <w:rPr>
                <w:rFonts w:cs="Times New Roman"/>
                <w:b/>
                <w:szCs w:val="24"/>
              </w:rPr>
              <w:t xml:space="preserve">Iniciatyvumo ir kūrybingumo, komunikavimo, pažinimo. </w:t>
            </w:r>
          </w:p>
        </w:tc>
      </w:tr>
      <w:tr w:rsidR="00055687" w:rsidRPr="00737AA5" w14:paraId="4A1F05DB" w14:textId="77777777" w:rsidTr="0032498B">
        <w:trPr>
          <w:trHeight w:val="972"/>
        </w:trPr>
        <w:tc>
          <w:tcPr>
            <w:tcW w:w="3539" w:type="dxa"/>
            <w:vAlign w:val="center"/>
          </w:tcPr>
          <w:p w14:paraId="00AA38D3" w14:textId="77777777" w:rsidR="00055687" w:rsidRPr="00737AA5" w:rsidRDefault="00055687" w:rsidP="008D6C98">
            <w:pPr>
              <w:rPr>
                <w:rFonts w:cs="Times New Roman"/>
                <w:b/>
                <w:szCs w:val="24"/>
              </w:rPr>
            </w:pPr>
            <w:r w:rsidRPr="00737AA5">
              <w:rPr>
                <w:rFonts w:cs="Times New Roman"/>
                <w:b/>
                <w:szCs w:val="24"/>
              </w:rPr>
              <w:t>Mokymo(si) uždavinys</w:t>
            </w:r>
          </w:p>
          <w:p w14:paraId="1D5297EC" w14:textId="77777777" w:rsidR="00055687" w:rsidRPr="00737AA5" w:rsidRDefault="00055687" w:rsidP="003D02DE">
            <w:pPr>
              <w:rPr>
                <w:rFonts w:cs="Times New Roman"/>
                <w:b/>
                <w:i/>
                <w:szCs w:val="24"/>
              </w:rPr>
            </w:pPr>
            <w:r w:rsidRPr="00737AA5">
              <w:rPr>
                <w:rFonts w:cs="Times New Roman"/>
                <w:i/>
                <w:szCs w:val="24"/>
              </w:rPr>
              <w:t>Ko mokiniai išmoks?</w:t>
            </w:r>
          </w:p>
        </w:tc>
        <w:tc>
          <w:tcPr>
            <w:tcW w:w="6089" w:type="dxa"/>
          </w:tcPr>
          <w:p w14:paraId="049B0517" w14:textId="77777777" w:rsidR="00055687" w:rsidRPr="00737AA5" w:rsidRDefault="00404498" w:rsidP="008D6C98">
            <w:pPr>
              <w:rPr>
                <w:rFonts w:cs="Times New Roman"/>
                <w:b/>
                <w:szCs w:val="24"/>
              </w:rPr>
            </w:pPr>
            <w:r w:rsidRPr="00737AA5">
              <w:rPr>
                <w:rFonts w:cs="Times New Roman"/>
                <w:b/>
                <w:szCs w:val="24"/>
              </w:rPr>
              <w:t xml:space="preserve">Praktiškai išbandys įvairius įrenginius, pagilins fizikos dalyko įgūdžius, </w:t>
            </w:r>
            <w:r w:rsidR="00163974" w:rsidRPr="00737AA5">
              <w:rPr>
                <w:rFonts w:cs="Times New Roman"/>
                <w:b/>
                <w:szCs w:val="24"/>
              </w:rPr>
              <w:t xml:space="preserve">konkrečiau suvoks istorinių laikotarpių technologinius skirtumus. </w:t>
            </w:r>
          </w:p>
        </w:tc>
      </w:tr>
      <w:tr w:rsidR="001F167E" w:rsidRPr="00737AA5" w14:paraId="08CE730B" w14:textId="77777777" w:rsidTr="001F167E">
        <w:trPr>
          <w:trHeight w:val="3934"/>
        </w:trPr>
        <w:tc>
          <w:tcPr>
            <w:tcW w:w="3539" w:type="dxa"/>
            <w:vAlign w:val="center"/>
          </w:tcPr>
          <w:p w14:paraId="2330711F" w14:textId="77777777" w:rsidR="001F167E" w:rsidRPr="00737AA5" w:rsidRDefault="001F167E" w:rsidP="001F167E">
            <w:pPr>
              <w:rPr>
                <w:rFonts w:cs="Times New Roman"/>
                <w:b/>
                <w:szCs w:val="24"/>
              </w:rPr>
            </w:pPr>
            <w:r w:rsidRPr="00737AA5">
              <w:rPr>
                <w:rFonts w:cs="Times New Roman"/>
                <w:b/>
                <w:szCs w:val="24"/>
              </w:rPr>
              <w:t>Trumpas aprašymas</w:t>
            </w:r>
          </w:p>
          <w:p w14:paraId="14708A3B" w14:textId="77777777" w:rsidR="001F167E" w:rsidRPr="00737AA5" w:rsidRDefault="001F167E" w:rsidP="001F167E">
            <w:pPr>
              <w:rPr>
                <w:rFonts w:cs="Times New Roman"/>
                <w:i/>
                <w:szCs w:val="24"/>
              </w:rPr>
            </w:pPr>
            <w:r w:rsidRPr="00737AA5">
              <w:rPr>
                <w:rFonts w:cs="Times New Roman"/>
                <w:i/>
                <w:szCs w:val="24"/>
              </w:rPr>
              <w:t xml:space="preserve">Kultūrinio ugdymo aplinkoje (muziejuje, meno mokykloje, parodoje, bibliotekoje, pas kultūros srities partnerius ir pan.) vykusios pamokos / ugdymo veiklos ar pamokos, kurioje tiesiogiai dalyvavo kūrėjai / tyrėjai / menininkai, trumpas aprašymas. </w:t>
            </w:r>
          </w:p>
          <w:p w14:paraId="3C73B65A" w14:textId="77777777" w:rsidR="001F167E" w:rsidRPr="00737AA5" w:rsidRDefault="001F167E" w:rsidP="001F167E">
            <w:pPr>
              <w:rPr>
                <w:rFonts w:cs="Times New Roman"/>
                <w:b/>
                <w:szCs w:val="24"/>
              </w:rPr>
            </w:pPr>
            <w:r w:rsidRPr="00737AA5">
              <w:rPr>
                <w:rFonts w:cs="Times New Roman"/>
                <w:i/>
                <w:szCs w:val="24"/>
              </w:rPr>
              <w:t xml:space="preserve">Jei yra, papildomai nurodyti, pvz., kultūrinės edukacijos aprašymo nuorodą internete ir pan.  </w:t>
            </w:r>
          </w:p>
        </w:tc>
        <w:tc>
          <w:tcPr>
            <w:tcW w:w="6089" w:type="dxa"/>
          </w:tcPr>
          <w:p w14:paraId="3E276806" w14:textId="77777777" w:rsidR="001F167E" w:rsidRPr="00737AA5" w:rsidRDefault="00365A60" w:rsidP="008D6C98">
            <w:pPr>
              <w:rPr>
                <w:rFonts w:cs="Times New Roman"/>
                <w:b/>
                <w:szCs w:val="24"/>
              </w:rPr>
            </w:pPr>
            <w:r w:rsidRPr="00737AA5">
              <w:rPr>
                <w:rFonts w:cs="Times New Roman"/>
                <w:b/>
                <w:szCs w:val="24"/>
              </w:rPr>
              <w:t>Aplankytas energetikos ir technikos muziejus. Susipažinta su įvairių laikotarpių</w:t>
            </w:r>
            <w:r w:rsidR="00404498" w:rsidRPr="00737AA5">
              <w:rPr>
                <w:rFonts w:cs="Times New Roman"/>
                <w:b/>
                <w:szCs w:val="24"/>
              </w:rPr>
              <w:t xml:space="preserve"> techniniais išradimais: nuo viduramžių iki XXa. antros pusės. Ypatingas dėmesys buvo skirtas renesanso laikotarpiui ir jo žymiausiam menininkui ir išradėjui Leonardui da Vinčiui. Realiai pamatyti jo sukurtų brėžinių pagaminti maketai (kai kurie realaus dydžio). Praktiškai buvo galima išdandyt</w:t>
            </w:r>
            <w:r w:rsidR="00163974" w:rsidRPr="00737AA5">
              <w:rPr>
                <w:rFonts w:cs="Times New Roman"/>
                <w:b/>
                <w:szCs w:val="24"/>
              </w:rPr>
              <w:t xml:space="preserve">i daugelio jų veikimo principą. </w:t>
            </w:r>
          </w:p>
        </w:tc>
      </w:tr>
      <w:tr w:rsidR="00862F2C" w:rsidRPr="00737AA5" w14:paraId="24E2AE55" w14:textId="77777777" w:rsidTr="0032498B">
        <w:trPr>
          <w:trHeight w:val="604"/>
        </w:trPr>
        <w:tc>
          <w:tcPr>
            <w:tcW w:w="3539" w:type="dxa"/>
            <w:vAlign w:val="center"/>
          </w:tcPr>
          <w:p w14:paraId="73201DB2" w14:textId="77777777" w:rsidR="00862F2C" w:rsidRPr="00737AA5" w:rsidRDefault="0032491C" w:rsidP="0032491C">
            <w:pPr>
              <w:rPr>
                <w:rFonts w:cs="Times New Roman"/>
                <w:b/>
                <w:szCs w:val="24"/>
              </w:rPr>
            </w:pPr>
            <w:r w:rsidRPr="00737AA5">
              <w:rPr>
                <w:rFonts w:cs="Times New Roman"/>
                <w:b/>
                <w:szCs w:val="24"/>
              </w:rPr>
              <w:t>Įgytų žinių ir / ar gebėjimų poreikis kasdieniame gyvenime</w:t>
            </w:r>
          </w:p>
          <w:p w14:paraId="3220386A" w14:textId="77777777" w:rsidR="0032491C" w:rsidRPr="00737AA5" w:rsidRDefault="0032491C" w:rsidP="0032491C">
            <w:pPr>
              <w:rPr>
                <w:rFonts w:cs="Times New Roman"/>
                <w:b/>
                <w:szCs w:val="24"/>
              </w:rPr>
            </w:pPr>
            <w:r w:rsidRPr="00737AA5">
              <w:rPr>
                <w:rFonts w:cs="Times New Roman"/>
                <w:iCs/>
                <w:szCs w:val="24"/>
              </w:rPr>
              <w:t>Keli konkretūs pavyzdžiai</w:t>
            </w:r>
          </w:p>
        </w:tc>
        <w:tc>
          <w:tcPr>
            <w:tcW w:w="6089" w:type="dxa"/>
          </w:tcPr>
          <w:p w14:paraId="19211300" w14:textId="77777777" w:rsidR="00862F2C" w:rsidRPr="00737AA5" w:rsidRDefault="00163974" w:rsidP="008D6C98">
            <w:pPr>
              <w:rPr>
                <w:rFonts w:cs="Times New Roman"/>
                <w:b/>
                <w:szCs w:val="24"/>
              </w:rPr>
            </w:pPr>
            <w:r w:rsidRPr="00737AA5">
              <w:rPr>
                <w:rFonts w:cs="Times New Roman"/>
                <w:b/>
                <w:szCs w:val="24"/>
              </w:rPr>
              <w:t>Fizikinių reiškinių suvokimas. Istorinių žinių vizualizacija.</w:t>
            </w:r>
          </w:p>
        </w:tc>
      </w:tr>
      <w:tr w:rsidR="00055687" w:rsidRPr="00737AA5" w14:paraId="0BD695B8" w14:textId="77777777" w:rsidTr="00D90395">
        <w:trPr>
          <w:trHeight w:val="420"/>
        </w:trPr>
        <w:tc>
          <w:tcPr>
            <w:tcW w:w="3539" w:type="dxa"/>
            <w:vAlign w:val="center"/>
          </w:tcPr>
          <w:p w14:paraId="2746C9B9" w14:textId="77777777" w:rsidR="00055687" w:rsidRPr="00737AA5" w:rsidRDefault="00862F2C" w:rsidP="008D6C98">
            <w:pPr>
              <w:rPr>
                <w:rFonts w:cs="Times New Roman"/>
                <w:b/>
                <w:szCs w:val="24"/>
              </w:rPr>
            </w:pPr>
            <w:r w:rsidRPr="00737AA5">
              <w:rPr>
                <w:rFonts w:cs="Times New Roman"/>
                <w:b/>
                <w:szCs w:val="24"/>
              </w:rPr>
              <w:t>D</w:t>
            </w:r>
            <w:r w:rsidR="00055687" w:rsidRPr="00737AA5">
              <w:rPr>
                <w:rFonts w:cs="Times New Roman"/>
                <w:b/>
                <w:szCs w:val="24"/>
              </w:rPr>
              <w:t>ata</w:t>
            </w:r>
          </w:p>
        </w:tc>
        <w:tc>
          <w:tcPr>
            <w:tcW w:w="6089" w:type="dxa"/>
          </w:tcPr>
          <w:p w14:paraId="61B585B0" w14:textId="0E350B9F" w:rsidR="00055687" w:rsidRPr="00737AA5" w:rsidRDefault="00365A60" w:rsidP="008D6C98">
            <w:pPr>
              <w:rPr>
                <w:rFonts w:cs="Times New Roman"/>
                <w:b/>
                <w:szCs w:val="24"/>
              </w:rPr>
            </w:pPr>
            <w:r w:rsidRPr="00737AA5">
              <w:rPr>
                <w:rFonts w:cs="Times New Roman"/>
                <w:b/>
                <w:szCs w:val="24"/>
              </w:rPr>
              <w:t>2023</w:t>
            </w:r>
            <w:r w:rsidR="00737AA5">
              <w:rPr>
                <w:rFonts w:cs="Times New Roman"/>
                <w:b/>
                <w:szCs w:val="24"/>
              </w:rPr>
              <w:t xml:space="preserve"> </w:t>
            </w:r>
            <w:r w:rsidRPr="00737AA5">
              <w:rPr>
                <w:rFonts w:cs="Times New Roman"/>
                <w:b/>
                <w:szCs w:val="24"/>
              </w:rPr>
              <w:t>m. gruodžio 8</w:t>
            </w:r>
            <w:r w:rsidR="00737AA5">
              <w:rPr>
                <w:rFonts w:cs="Times New Roman"/>
                <w:b/>
                <w:szCs w:val="24"/>
              </w:rPr>
              <w:t xml:space="preserve"> </w:t>
            </w:r>
            <w:r w:rsidRPr="00737AA5">
              <w:rPr>
                <w:rFonts w:cs="Times New Roman"/>
                <w:b/>
                <w:szCs w:val="24"/>
              </w:rPr>
              <w:t>d.</w:t>
            </w:r>
          </w:p>
        </w:tc>
      </w:tr>
      <w:tr w:rsidR="001F167E" w:rsidRPr="00737AA5" w14:paraId="486C8009" w14:textId="77777777" w:rsidTr="00D90395">
        <w:trPr>
          <w:trHeight w:val="555"/>
        </w:trPr>
        <w:tc>
          <w:tcPr>
            <w:tcW w:w="3539" w:type="dxa"/>
            <w:vAlign w:val="center"/>
          </w:tcPr>
          <w:p w14:paraId="423A7315" w14:textId="77777777" w:rsidR="001F167E" w:rsidRPr="00737AA5" w:rsidRDefault="001F167E" w:rsidP="001F167E">
            <w:pPr>
              <w:rPr>
                <w:rFonts w:cs="Times New Roman"/>
                <w:b/>
                <w:szCs w:val="24"/>
              </w:rPr>
            </w:pPr>
            <w:r w:rsidRPr="00737AA5">
              <w:rPr>
                <w:rFonts w:cs="Times New Roman"/>
                <w:b/>
                <w:szCs w:val="24"/>
              </w:rPr>
              <w:t>Vieta</w:t>
            </w:r>
          </w:p>
          <w:p w14:paraId="575DD228" w14:textId="77777777" w:rsidR="001F167E" w:rsidRPr="00737AA5" w:rsidRDefault="001F167E" w:rsidP="001F167E">
            <w:pPr>
              <w:rPr>
                <w:rFonts w:cs="Times New Roman"/>
                <w:b/>
                <w:szCs w:val="24"/>
              </w:rPr>
            </w:pPr>
            <w:r w:rsidRPr="00737AA5">
              <w:rPr>
                <w:rFonts w:cs="Times New Roman"/>
                <w:i/>
                <w:szCs w:val="24"/>
              </w:rPr>
              <w:t>Paprasta klasė, mokyklos laboratorija, ... Jei išvyka – adresas (ir internetinis), kontaktai</w:t>
            </w:r>
          </w:p>
        </w:tc>
        <w:tc>
          <w:tcPr>
            <w:tcW w:w="6089" w:type="dxa"/>
          </w:tcPr>
          <w:p w14:paraId="45542717" w14:textId="77777777" w:rsidR="001F167E" w:rsidRPr="00737AA5" w:rsidRDefault="00365A60" w:rsidP="001F167E">
            <w:pPr>
              <w:rPr>
                <w:rFonts w:cs="Times New Roman"/>
                <w:b/>
                <w:szCs w:val="24"/>
              </w:rPr>
            </w:pPr>
            <w:r w:rsidRPr="00737AA5">
              <w:rPr>
                <w:rFonts w:cs="Times New Roman"/>
                <w:b/>
                <w:szCs w:val="24"/>
              </w:rPr>
              <w:t xml:space="preserve">Energetikos ir technikos muziejus  </w:t>
            </w:r>
            <w:hyperlink r:id="rId4" w:history="1">
              <w:r w:rsidRPr="00737AA5">
                <w:rPr>
                  <w:rStyle w:val="Hipersaitas"/>
                  <w:rFonts w:cs="Times New Roman"/>
                  <w:b/>
                  <w:szCs w:val="24"/>
                </w:rPr>
                <w:t>https://etm.lt/papildomos-ekskursijos-po-paroda-leonardo-da-vincio-masinos/</w:t>
              </w:r>
            </w:hyperlink>
            <w:r w:rsidRPr="00737AA5">
              <w:rPr>
                <w:rFonts w:cs="Times New Roman"/>
                <w:b/>
                <w:szCs w:val="24"/>
              </w:rPr>
              <w:t xml:space="preserve">  </w:t>
            </w:r>
          </w:p>
        </w:tc>
      </w:tr>
      <w:tr w:rsidR="001F167E" w:rsidRPr="00737AA5" w14:paraId="223A0210" w14:textId="77777777" w:rsidTr="00D90395">
        <w:trPr>
          <w:trHeight w:val="438"/>
        </w:trPr>
        <w:tc>
          <w:tcPr>
            <w:tcW w:w="3539" w:type="dxa"/>
            <w:vAlign w:val="center"/>
          </w:tcPr>
          <w:p w14:paraId="0578BB94" w14:textId="77777777" w:rsidR="001F167E" w:rsidRPr="00737AA5" w:rsidRDefault="001F167E" w:rsidP="001F167E">
            <w:pPr>
              <w:rPr>
                <w:rFonts w:cs="Times New Roman"/>
                <w:b/>
                <w:szCs w:val="24"/>
              </w:rPr>
            </w:pPr>
            <w:r w:rsidRPr="00737AA5">
              <w:rPr>
                <w:rFonts w:cs="Times New Roman"/>
                <w:b/>
                <w:szCs w:val="24"/>
              </w:rPr>
              <w:t>Trukmė</w:t>
            </w:r>
          </w:p>
          <w:p w14:paraId="03C0DC3C" w14:textId="77777777" w:rsidR="001F167E" w:rsidRPr="00737AA5" w:rsidRDefault="001F167E" w:rsidP="001F167E">
            <w:pPr>
              <w:rPr>
                <w:rFonts w:cs="Times New Roman"/>
                <w:b/>
                <w:szCs w:val="24"/>
              </w:rPr>
            </w:pPr>
            <w:r w:rsidRPr="00737AA5">
              <w:rPr>
                <w:rFonts w:cs="Times New Roman"/>
                <w:i/>
                <w:szCs w:val="24"/>
              </w:rPr>
              <w:t xml:space="preserve">Nurodyti  trukmę įprastomis val. ir min. </w:t>
            </w:r>
            <w:r w:rsidRPr="00737AA5">
              <w:rPr>
                <w:rFonts w:cs="Times New Roman"/>
                <w:b/>
                <w:szCs w:val="24"/>
              </w:rPr>
              <w:t xml:space="preserve"> </w:t>
            </w:r>
          </w:p>
        </w:tc>
        <w:tc>
          <w:tcPr>
            <w:tcW w:w="6089" w:type="dxa"/>
          </w:tcPr>
          <w:p w14:paraId="18CD9781" w14:textId="77777777" w:rsidR="001F167E" w:rsidRPr="00737AA5" w:rsidRDefault="00365A60" w:rsidP="001F167E">
            <w:pPr>
              <w:rPr>
                <w:rFonts w:cs="Times New Roman"/>
                <w:b/>
                <w:szCs w:val="24"/>
              </w:rPr>
            </w:pPr>
            <w:r w:rsidRPr="00737AA5">
              <w:rPr>
                <w:rFonts w:cs="Times New Roman"/>
                <w:b/>
                <w:szCs w:val="24"/>
              </w:rPr>
              <w:t>2 val.</w:t>
            </w:r>
          </w:p>
        </w:tc>
      </w:tr>
      <w:tr w:rsidR="001F167E" w:rsidRPr="00737AA5" w14:paraId="77D8176E" w14:textId="77777777" w:rsidTr="00D90395">
        <w:trPr>
          <w:trHeight w:val="416"/>
        </w:trPr>
        <w:tc>
          <w:tcPr>
            <w:tcW w:w="3539" w:type="dxa"/>
            <w:vAlign w:val="center"/>
          </w:tcPr>
          <w:p w14:paraId="266DDD41" w14:textId="77777777" w:rsidR="001F167E" w:rsidRPr="00737AA5" w:rsidRDefault="001F167E" w:rsidP="001F167E">
            <w:pPr>
              <w:rPr>
                <w:rFonts w:cs="Times New Roman"/>
                <w:b/>
                <w:szCs w:val="24"/>
              </w:rPr>
            </w:pPr>
            <w:r w:rsidRPr="00737AA5">
              <w:rPr>
                <w:rFonts w:cs="Times New Roman"/>
                <w:b/>
                <w:szCs w:val="24"/>
              </w:rPr>
              <w:t>Mokyklos pavadinimas</w:t>
            </w:r>
          </w:p>
        </w:tc>
        <w:tc>
          <w:tcPr>
            <w:tcW w:w="6089" w:type="dxa"/>
          </w:tcPr>
          <w:p w14:paraId="5FCDDE5A" w14:textId="77777777" w:rsidR="001F167E" w:rsidRPr="00737AA5" w:rsidRDefault="00365A60" w:rsidP="001F167E">
            <w:pPr>
              <w:jc w:val="center"/>
              <w:rPr>
                <w:rFonts w:cs="Times New Roman"/>
                <w:b/>
                <w:szCs w:val="24"/>
              </w:rPr>
            </w:pPr>
            <w:r w:rsidRPr="00737AA5">
              <w:rPr>
                <w:rFonts w:cs="Times New Roman"/>
                <w:b/>
                <w:szCs w:val="24"/>
              </w:rPr>
              <w:t>Didžiasalio „Ryto“ gimnazija</w:t>
            </w:r>
          </w:p>
        </w:tc>
      </w:tr>
      <w:tr w:rsidR="001F167E" w:rsidRPr="00737AA5" w14:paraId="1BA28AF1" w14:textId="77777777" w:rsidTr="00D90395">
        <w:trPr>
          <w:trHeight w:val="827"/>
        </w:trPr>
        <w:tc>
          <w:tcPr>
            <w:tcW w:w="3539" w:type="dxa"/>
            <w:vAlign w:val="center"/>
          </w:tcPr>
          <w:p w14:paraId="3807D704" w14:textId="77777777" w:rsidR="001F167E" w:rsidRPr="00737AA5" w:rsidRDefault="001F167E" w:rsidP="001F167E">
            <w:pPr>
              <w:rPr>
                <w:rFonts w:cs="Times New Roman"/>
                <w:b/>
                <w:szCs w:val="24"/>
              </w:rPr>
            </w:pPr>
            <w:r w:rsidRPr="00737AA5">
              <w:rPr>
                <w:rFonts w:cs="Times New Roman"/>
                <w:b/>
                <w:szCs w:val="24"/>
              </w:rPr>
              <w:t>Mokytojo patarimai po pamokos / ugdymo veiklos</w:t>
            </w:r>
          </w:p>
        </w:tc>
        <w:tc>
          <w:tcPr>
            <w:tcW w:w="6089" w:type="dxa"/>
          </w:tcPr>
          <w:p w14:paraId="1FD07844" w14:textId="77777777" w:rsidR="001F167E" w:rsidRPr="00737AA5" w:rsidRDefault="001F167E" w:rsidP="001F167E">
            <w:pPr>
              <w:jc w:val="center"/>
              <w:rPr>
                <w:rFonts w:cs="Times New Roman"/>
                <w:b/>
                <w:szCs w:val="24"/>
              </w:rPr>
            </w:pPr>
          </w:p>
        </w:tc>
      </w:tr>
      <w:tr w:rsidR="001F167E" w:rsidRPr="00737AA5" w14:paraId="1677EDF3" w14:textId="77777777" w:rsidTr="00D90395">
        <w:trPr>
          <w:trHeight w:val="500"/>
        </w:trPr>
        <w:tc>
          <w:tcPr>
            <w:tcW w:w="3539" w:type="dxa"/>
            <w:vAlign w:val="center"/>
          </w:tcPr>
          <w:p w14:paraId="45B908E8" w14:textId="77777777" w:rsidR="001F167E" w:rsidRPr="00737AA5" w:rsidRDefault="001F167E" w:rsidP="001F167E">
            <w:pPr>
              <w:rPr>
                <w:rFonts w:cs="Times New Roman"/>
                <w:b/>
                <w:szCs w:val="24"/>
              </w:rPr>
            </w:pPr>
            <w:r w:rsidRPr="00737AA5">
              <w:rPr>
                <w:rFonts w:cs="Times New Roman"/>
                <w:b/>
                <w:szCs w:val="24"/>
              </w:rPr>
              <w:t>Mokytojo vardas, pavardė</w:t>
            </w:r>
          </w:p>
          <w:p w14:paraId="66977F73" w14:textId="77777777" w:rsidR="001F167E" w:rsidRPr="00737AA5" w:rsidRDefault="001F167E" w:rsidP="001F167E">
            <w:pPr>
              <w:rPr>
                <w:rFonts w:cs="Times New Roman"/>
                <w:b/>
                <w:szCs w:val="24"/>
              </w:rPr>
            </w:pPr>
            <w:r w:rsidRPr="00737AA5">
              <w:rPr>
                <w:rFonts w:cs="Times New Roman"/>
                <w:i/>
                <w:szCs w:val="24"/>
              </w:rPr>
              <w:t>Neprivaloma</w:t>
            </w:r>
          </w:p>
        </w:tc>
        <w:tc>
          <w:tcPr>
            <w:tcW w:w="6089" w:type="dxa"/>
          </w:tcPr>
          <w:p w14:paraId="5D015071" w14:textId="77777777" w:rsidR="001F167E" w:rsidRPr="00737AA5" w:rsidRDefault="00365A60" w:rsidP="001F167E">
            <w:pPr>
              <w:jc w:val="center"/>
              <w:rPr>
                <w:rFonts w:cs="Times New Roman"/>
                <w:b/>
                <w:szCs w:val="24"/>
              </w:rPr>
            </w:pPr>
            <w:r w:rsidRPr="00737AA5">
              <w:rPr>
                <w:rFonts w:cs="Times New Roman"/>
                <w:b/>
                <w:szCs w:val="24"/>
              </w:rPr>
              <w:t>Danguolė Mikulėnienė</w:t>
            </w:r>
          </w:p>
        </w:tc>
      </w:tr>
    </w:tbl>
    <w:p w14:paraId="11F0302A" w14:textId="77777777" w:rsidR="00E0668A" w:rsidRPr="00737AA5" w:rsidRDefault="00862F2C" w:rsidP="00094A6D">
      <w:pPr>
        <w:jc w:val="center"/>
        <w:rPr>
          <w:rFonts w:cs="Times New Roman"/>
          <w:b/>
          <w:szCs w:val="24"/>
        </w:rPr>
      </w:pPr>
      <w:r w:rsidRPr="00737AA5">
        <w:rPr>
          <w:rFonts w:cs="Times New Roman"/>
          <w:b/>
          <w:szCs w:val="24"/>
        </w:rPr>
        <w:t>___________________________</w:t>
      </w:r>
    </w:p>
    <w:sectPr w:rsidR="00E0668A" w:rsidRPr="00737AA5" w:rsidSect="00D90395">
      <w:pgSz w:w="11906" w:h="16838"/>
      <w:pgMar w:top="1135" w:right="567" w:bottom="28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337"/>
    <w:rsid w:val="00055687"/>
    <w:rsid w:val="000574F9"/>
    <w:rsid w:val="00094A6D"/>
    <w:rsid w:val="001359EF"/>
    <w:rsid w:val="00163974"/>
    <w:rsid w:val="001F167E"/>
    <w:rsid w:val="00285B0E"/>
    <w:rsid w:val="0032491C"/>
    <w:rsid w:val="0032498B"/>
    <w:rsid w:val="00365A60"/>
    <w:rsid w:val="003D02DE"/>
    <w:rsid w:val="00404498"/>
    <w:rsid w:val="00630DBB"/>
    <w:rsid w:val="00737AA5"/>
    <w:rsid w:val="007C3FAF"/>
    <w:rsid w:val="00862F2C"/>
    <w:rsid w:val="00924E21"/>
    <w:rsid w:val="00A53721"/>
    <w:rsid w:val="00B40337"/>
    <w:rsid w:val="00BB5030"/>
    <w:rsid w:val="00D90395"/>
    <w:rsid w:val="00E0668A"/>
    <w:rsid w:val="00E6685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CA8D9"/>
  <w15:chartTrackingRefBased/>
  <w15:docId w15:val="{A4D4B702-18B1-4195-92E6-65EDB3C3B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094A6D"/>
    <w:pPr>
      <w:autoSpaceDE w:val="0"/>
      <w:autoSpaceDN w:val="0"/>
      <w:adjustRightInd w:val="0"/>
    </w:pPr>
    <w:rPr>
      <w:rFonts w:cs="Times New Roman"/>
      <w:color w:val="000000"/>
      <w:szCs w:val="24"/>
    </w:rPr>
  </w:style>
  <w:style w:type="table" w:styleId="Lentelstinklelis">
    <w:name w:val="Table Grid"/>
    <w:basedOn w:val="prastojilentel"/>
    <w:uiPriority w:val="39"/>
    <w:rsid w:val="007C3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365A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tm.lt/papildomos-ekskursijos-po-paroda-leonardo-da-vincio-masinos/"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1343</Words>
  <Characters>767</Characters>
  <Application>Microsoft Office Word</Application>
  <DocSecurity>0</DocSecurity>
  <Lines>6</Lines>
  <Paragraphs>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Gasiukevičienė</dc:creator>
  <cp:keywords/>
  <dc:description/>
  <cp:lastModifiedBy>Jūratė Sereičikienė</cp:lastModifiedBy>
  <cp:revision>11</cp:revision>
  <dcterms:created xsi:type="dcterms:W3CDTF">2022-11-29T07:32:00Z</dcterms:created>
  <dcterms:modified xsi:type="dcterms:W3CDTF">2023-12-28T05:43:00Z</dcterms:modified>
</cp:coreProperties>
</file>