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PLANA</w:t>
      </w:r>
      <w:r w:rsidR="00800EFC">
        <w:rPr>
          <w:b/>
          <w:bCs/>
          <w:szCs w:val="24"/>
        </w:rPr>
        <w:t>S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Default="00800EFC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Istorija</w:t>
            </w:r>
            <w:r w:rsidR="00A216E4">
              <w:rPr>
                <w:b/>
                <w:szCs w:val="24"/>
              </w:rPr>
              <w:t xml:space="preserve"> ir anglų k.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Default="00A216E4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Viduramžiai iš arčiau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Default="00A216E4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3,4,8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Default="00A216E4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Kūrybiškumas, bendradarbiavimas, iniciatyvumas, pažinimo.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Default="00A216E4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Susipažins su vieno iš istorinio laikotarpio išskirtinumu, pamatys kokiomis skirtingomis formomis ir metodais galima mokytis apie praetį, pagilins IT žinias ir gebėjimus. </w:t>
            </w:r>
          </w:p>
          <w:p w:rsidR="00A216E4" w:rsidRDefault="00A216E4" w:rsidP="008D6C98">
            <w:pPr>
              <w:rPr>
                <w:b/>
                <w:szCs w:val="24"/>
              </w:rPr>
            </w:pPr>
          </w:p>
        </w:tc>
      </w:tr>
      <w:tr w:rsidR="001F167E" w:rsidTr="001F167E">
        <w:trPr>
          <w:trHeight w:val="3934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2A4CBF" w:rsidRDefault="002A4CBF" w:rsidP="002A4CBF">
            <w:pPr>
              <w:rPr>
                <w:b/>
                <w:szCs w:val="24"/>
              </w:rPr>
            </w:pPr>
          </w:p>
          <w:p w:rsidR="001F167E" w:rsidRDefault="00A216E4" w:rsidP="002A4C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Integruota istorijos ir anglų k. pamoka vyko mokyklos aktų salėje. 8 klasės mokiniai iš anksto paruošė pradinių klasių mokiniams įvairius pristatymus PowerPoint programa, plakatas, video su animacija, bendras viduramžių šokis.Visa tai derinta su anglų k.</w:t>
            </w:r>
            <w:r w:rsidR="002A4CBF">
              <w:rPr>
                <w:b/>
                <w:szCs w:val="24"/>
              </w:rPr>
              <w:t xml:space="preserve"> tekstų skaitymu. Patikrintos pradinių klasių mokinių žinios</w:t>
            </w:r>
            <w:r>
              <w:rPr>
                <w:b/>
                <w:szCs w:val="24"/>
              </w:rPr>
              <w:t>. Išmokta naujų žodžių</w:t>
            </w:r>
            <w:r w:rsidR="002A4CBF">
              <w:rPr>
                <w:b/>
                <w:szCs w:val="24"/>
              </w:rPr>
              <w:t>.</w:t>
            </w: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862F2C" w:rsidRDefault="002A4CBF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Pradinių klasių mokinai mokėsi bendradarbiautis su vyresniais mokiniais, domėjosi aminacijos kūrimo metodu (taikė IT žinias), įsijungė į bendras veiklas, gebėjo aktyviai mokytis. </w:t>
            </w: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Default="002A4CBF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2024-11-28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Default="002A4CBF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aktų salė</w:t>
            </w: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Default="002A4CBF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 akademinė valanda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Default="002A4CBF" w:rsidP="002A4C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 „Ryto“ gimnazija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Default="002A4CBF" w:rsidP="002A4CBF">
            <w:pPr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D. Mikulėnienė</w:t>
            </w: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800EFC">
      <w:pgSz w:w="11906" w:h="16838"/>
      <w:pgMar w:top="709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7"/>
    <w:rsid w:val="00055687"/>
    <w:rsid w:val="000574F9"/>
    <w:rsid w:val="00094A6D"/>
    <w:rsid w:val="001359EF"/>
    <w:rsid w:val="001F167E"/>
    <w:rsid w:val="00285B0E"/>
    <w:rsid w:val="002A4CBF"/>
    <w:rsid w:val="0032491C"/>
    <w:rsid w:val="0032498B"/>
    <w:rsid w:val="00367200"/>
    <w:rsid w:val="003D02DE"/>
    <w:rsid w:val="00630DBB"/>
    <w:rsid w:val="007C3FAF"/>
    <w:rsid w:val="00800EFC"/>
    <w:rsid w:val="00862F2C"/>
    <w:rsid w:val="00924E21"/>
    <w:rsid w:val="00A216E4"/>
    <w:rsid w:val="00A53721"/>
    <w:rsid w:val="00B40337"/>
    <w:rsid w:val="00BB5030"/>
    <w:rsid w:val="00D90395"/>
    <w:rsid w:val="00E0668A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AD03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Danguolė Mikulėnienė</cp:lastModifiedBy>
  <cp:revision>11</cp:revision>
  <cp:lastPrinted>2025-05-29T19:30:00Z</cp:lastPrinted>
  <dcterms:created xsi:type="dcterms:W3CDTF">2022-11-29T07:32:00Z</dcterms:created>
  <dcterms:modified xsi:type="dcterms:W3CDTF">2025-05-29T19:33:00Z</dcterms:modified>
</cp:coreProperties>
</file>