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FA563" w14:textId="77777777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2A389BEF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8C2F8EA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14:paraId="4AD401B9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14:paraId="41ED1ECC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252F272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32BC9E6" w14:textId="249C1236" w:rsidR="007C3FAF" w:rsidRPr="00D9771E" w:rsidRDefault="009B011E" w:rsidP="007C3FA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Etika</w:t>
            </w:r>
          </w:p>
        </w:tc>
      </w:tr>
      <w:tr w:rsidR="00055687" w14:paraId="70CFD56A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0C35253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6BF0F8A5" w14:textId="77777777" w:rsidR="00055687" w:rsidRDefault="009A38D4" w:rsidP="00585B5C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Nesuvaidinta tikrovė. 4 metų laikai</w:t>
            </w:r>
            <w:r w:rsidR="00053085">
              <w:rPr>
                <w:rFonts w:cs="Times New Roman"/>
                <w:bCs/>
                <w:szCs w:val="24"/>
              </w:rPr>
              <w:t>.</w:t>
            </w:r>
          </w:p>
          <w:p w14:paraId="203A1F4F" w14:textId="45D4975D" w:rsidR="00053085" w:rsidRPr="00D9771E" w:rsidRDefault="00053085" w:rsidP="00585B5C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Ilgalaikė programa ,,Rėdos ratas“, TŪM projektas.</w:t>
            </w:r>
          </w:p>
        </w:tc>
      </w:tr>
      <w:tr w:rsidR="00055687" w14:paraId="0568DBDD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703B3ACB" w14:textId="167FC33C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2B4B5E2E" w14:textId="0A1985FA" w:rsidR="00055687" w:rsidRPr="00D9771E" w:rsidRDefault="009B011E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3b</w:t>
            </w:r>
          </w:p>
        </w:tc>
      </w:tr>
      <w:tr w:rsidR="00055687" w14:paraId="4E2A0A02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22C755E6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4371D43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616A82D5" w14:textId="090F71F4" w:rsidR="00055687" w:rsidRPr="00D9771E" w:rsidRDefault="00A71C02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Ugdytis </w:t>
            </w:r>
            <w:r w:rsidR="006356AE">
              <w:rPr>
                <w:rFonts w:cs="Times New Roman"/>
                <w:bCs/>
                <w:szCs w:val="24"/>
              </w:rPr>
              <w:t xml:space="preserve">komunikavimo, </w:t>
            </w:r>
            <w:r>
              <w:rPr>
                <w:rFonts w:cs="Times New Roman"/>
                <w:bCs/>
                <w:szCs w:val="24"/>
              </w:rPr>
              <w:t>pažinimo</w:t>
            </w:r>
            <w:r w:rsidR="00617414">
              <w:rPr>
                <w:rFonts w:cs="Times New Roman"/>
                <w:bCs/>
                <w:szCs w:val="24"/>
              </w:rPr>
              <w:t xml:space="preserve">, </w:t>
            </w:r>
            <w:r w:rsidR="00617414">
              <w:rPr>
                <w:rFonts w:eastAsia="Times New Roman" w:cs="Times New Roman"/>
                <w:color w:val="333333"/>
                <w:szCs w:val="24"/>
                <w:lang w:eastAsia="lt-LT"/>
              </w:rPr>
              <w:t xml:space="preserve">kūrybiškumo, </w:t>
            </w:r>
            <w:r w:rsidR="00617414"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>emocinę</w:t>
            </w:r>
            <w:r>
              <w:rPr>
                <w:rFonts w:cs="Times New Roman"/>
                <w:bCs/>
                <w:szCs w:val="24"/>
              </w:rPr>
              <w:t xml:space="preserve"> kompetenciją.</w:t>
            </w:r>
          </w:p>
        </w:tc>
      </w:tr>
      <w:tr w:rsidR="00055687" w14:paraId="53C6588D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3DCEC665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409DD819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72699FD6" w14:textId="77777777" w:rsidR="00055687" w:rsidRDefault="00A71C02" w:rsidP="009B011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Gebėti apibūdinti, ko galime pasimokyti iš dokumentinių filmų.</w:t>
            </w:r>
          </w:p>
          <w:p w14:paraId="027814E5" w14:textId="672EFD29" w:rsidR="00371082" w:rsidRPr="00D9771E" w:rsidRDefault="00371082" w:rsidP="009B011E">
            <w:pPr>
              <w:rPr>
                <w:rFonts w:cs="Times New Roman"/>
                <w:bCs/>
                <w:szCs w:val="24"/>
              </w:rPr>
            </w:pPr>
          </w:p>
        </w:tc>
      </w:tr>
      <w:tr w:rsidR="001F167E" w14:paraId="41B865BA" w14:textId="77777777" w:rsidTr="001F167E">
        <w:trPr>
          <w:trHeight w:val="3934"/>
        </w:trPr>
        <w:tc>
          <w:tcPr>
            <w:tcW w:w="3539" w:type="dxa"/>
            <w:vAlign w:val="center"/>
          </w:tcPr>
          <w:p w14:paraId="7B3FFE60" w14:textId="77777777"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610EA1F5" w14:textId="77777777"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0968223A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5EE5BA67" w14:textId="7E965C80" w:rsidR="00A71C02" w:rsidRDefault="00A71C02" w:rsidP="009F1A41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Mokiniams </w:t>
            </w:r>
            <w:r w:rsidR="002D6866" w:rsidRPr="002D6866">
              <w:rPr>
                <w:rFonts w:cs="Times New Roman"/>
                <w:bCs/>
                <w:szCs w:val="24"/>
              </w:rPr>
              <w:t>papasakojama</w:t>
            </w:r>
            <w:r w:rsidRPr="002D6866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 xml:space="preserve">kas yra dokumentinis filmas, kuo jis skiriasi nuo vaidybinio. </w:t>
            </w:r>
          </w:p>
          <w:p w14:paraId="1BCCF003" w14:textId="5645D8A6" w:rsidR="00D90157" w:rsidRDefault="00A71C02" w:rsidP="009F1A41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Mokiniai peržiūri dokumentinio filmo „4 metų laikai“ ištraukas</w:t>
            </w:r>
            <w:r w:rsidR="00CA38F0">
              <w:rPr>
                <w:rFonts w:cs="Times New Roman"/>
                <w:bCs/>
                <w:szCs w:val="24"/>
              </w:rPr>
              <w:t xml:space="preserve"> (filmas apie gamtą ir jos gyventojus, kaip viskas keičiasi keičiantis metų laikui).</w:t>
            </w:r>
            <w:r>
              <w:rPr>
                <w:rFonts w:cs="Times New Roman"/>
                <w:bCs/>
                <w:szCs w:val="24"/>
              </w:rPr>
              <w:t xml:space="preserve"> Pildo užduočių lapus, kur aptaria filmo pagrindinę idėją, jo naudą jaunam žmogui, jausmus, mintis ir įspūdžius.</w:t>
            </w:r>
          </w:p>
          <w:p w14:paraId="7AF5C5F6" w14:textId="56937762" w:rsidR="00A71C02" w:rsidRPr="00D90157" w:rsidRDefault="00A71C02" w:rsidP="009F1A41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Toliau mokiniai patys tampa dokumentinio filmo režisieriais ir kuria filmo scenarijų pasirinkta tema. Svarsto, kokius klausimus nagrinėtų </w:t>
            </w:r>
            <w:r w:rsidR="00CA38F0">
              <w:rPr>
                <w:rFonts w:cs="Times New Roman"/>
                <w:bCs/>
                <w:szCs w:val="24"/>
              </w:rPr>
              <w:t xml:space="preserve">savo </w:t>
            </w:r>
            <w:r>
              <w:rPr>
                <w:rFonts w:cs="Times New Roman"/>
                <w:bCs/>
                <w:szCs w:val="24"/>
              </w:rPr>
              <w:t>dokumentiniame filme.</w:t>
            </w:r>
          </w:p>
        </w:tc>
      </w:tr>
      <w:tr w:rsidR="00862F2C" w14:paraId="3CCC5C8E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5A23780C" w14:textId="77777777"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1DC13848" w14:textId="77777777"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1898E66B" w14:textId="6E3A776D" w:rsidR="00862F2C" w:rsidRPr="00D90157" w:rsidRDefault="00CA38F0" w:rsidP="009F1A41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Žinos, kas yra dokumentika, skirs jį nuo vaidybinio filmo. Labiau vertins ir saugos savo gimtos šalies gyvąją gamtą. </w:t>
            </w:r>
          </w:p>
        </w:tc>
      </w:tr>
      <w:tr w:rsidR="00055687" w14:paraId="350B589D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07078A95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475C252F" w14:textId="1853616D" w:rsidR="00055687" w:rsidRPr="00D9771E" w:rsidRDefault="009A38D4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2024-02-06</w:t>
            </w:r>
          </w:p>
        </w:tc>
      </w:tr>
      <w:tr w:rsidR="001F167E" w14:paraId="0F04E206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0F533F07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07A5A7AB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791E0078" w14:textId="4913D861" w:rsidR="001F167E" w:rsidRPr="00E901BE" w:rsidRDefault="009B011E" w:rsidP="00E901BE">
            <w:pPr>
              <w:pStyle w:val="prastasistinklapis"/>
              <w:spacing w:before="0" w:beforeAutospacing="0" w:after="375" w:afterAutospacing="0"/>
              <w:rPr>
                <w:color w:val="303030"/>
              </w:rPr>
            </w:pPr>
            <w:r>
              <w:rPr>
                <w:color w:val="303030"/>
              </w:rPr>
              <w:t>Klasė</w:t>
            </w:r>
          </w:p>
        </w:tc>
      </w:tr>
      <w:tr w:rsidR="001F167E" w14:paraId="7F5FDD96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495FBF58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793C7186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EDC2ABA" w14:textId="3DD7CD5C" w:rsidR="001F167E" w:rsidRPr="00D9771E" w:rsidRDefault="009B011E" w:rsidP="001F167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45 min.</w:t>
            </w:r>
          </w:p>
        </w:tc>
      </w:tr>
      <w:tr w:rsidR="001F167E" w14:paraId="525D7BF3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1BC4B04A" w14:textId="77777777"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63ABD6D4" w14:textId="41B2A4C1" w:rsidR="001F167E" w:rsidRPr="00D9771E" w:rsidRDefault="009B011E" w:rsidP="00D9771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1F167E" w14:paraId="07C22808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6768F98F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413ACC73" w14:textId="1781A697" w:rsidR="001F167E" w:rsidRPr="00E901BE" w:rsidRDefault="00CA38F0" w:rsidP="00E901B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Galima būtų skirti daugiau pamokų šiai temai. Pamėginti nufilmuoti savo dokumentinio filmo ištrauką ir suorganizuoti klasės dokumentinių filmų ištraukų peržiūrą.</w:t>
            </w:r>
          </w:p>
        </w:tc>
      </w:tr>
      <w:tr w:rsidR="001F167E" w14:paraId="1A29B376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3E865CA0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39C35EC" w14:textId="77777777"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5ACD89BB" w14:textId="07BF9CAF" w:rsidR="001F167E" w:rsidRPr="00BF4209" w:rsidRDefault="001F167E" w:rsidP="00E901BE">
            <w:pPr>
              <w:rPr>
                <w:szCs w:val="24"/>
              </w:rPr>
            </w:pPr>
            <w:bookmarkStart w:id="0" w:name="_GoBack"/>
            <w:bookmarkEnd w:id="0"/>
          </w:p>
        </w:tc>
      </w:tr>
    </w:tbl>
    <w:p w14:paraId="4CD67841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3085"/>
    <w:rsid w:val="00055687"/>
    <w:rsid w:val="000574F9"/>
    <w:rsid w:val="00094A6D"/>
    <w:rsid w:val="001359EF"/>
    <w:rsid w:val="001F167E"/>
    <w:rsid w:val="002278EE"/>
    <w:rsid w:val="00285B0E"/>
    <w:rsid w:val="002D0069"/>
    <w:rsid w:val="002D6866"/>
    <w:rsid w:val="0032491C"/>
    <w:rsid w:val="0032498B"/>
    <w:rsid w:val="00371082"/>
    <w:rsid w:val="003D02DE"/>
    <w:rsid w:val="00450E51"/>
    <w:rsid w:val="005811B2"/>
    <w:rsid w:val="00585B5C"/>
    <w:rsid w:val="00617414"/>
    <w:rsid w:val="00630DBB"/>
    <w:rsid w:val="006356AE"/>
    <w:rsid w:val="007C3FAF"/>
    <w:rsid w:val="00862F2C"/>
    <w:rsid w:val="00924E21"/>
    <w:rsid w:val="009A38D4"/>
    <w:rsid w:val="009B011E"/>
    <w:rsid w:val="009F1A41"/>
    <w:rsid w:val="00A53721"/>
    <w:rsid w:val="00A71C02"/>
    <w:rsid w:val="00AA6DCA"/>
    <w:rsid w:val="00B40337"/>
    <w:rsid w:val="00B600E9"/>
    <w:rsid w:val="00B74019"/>
    <w:rsid w:val="00BB5030"/>
    <w:rsid w:val="00BF4209"/>
    <w:rsid w:val="00CA38F0"/>
    <w:rsid w:val="00D90157"/>
    <w:rsid w:val="00D90395"/>
    <w:rsid w:val="00D93482"/>
    <w:rsid w:val="00D9771E"/>
    <w:rsid w:val="00DA7280"/>
    <w:rsid w:val="00E0668A"/>
    <w:rsid w:val="00E42E19"/>
    <w:rsid w:val="00E6685B"/>
    <w:rsid w:val="00E723A6"/>
    <w:rsid w:val="00E9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8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stinklapis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stinklapis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6CF00C5D674724081850FF147F74868" ma:contentTypeVersion="2" ma:contentTypeDescription="Kurkite naują dokumentą." ma:contentTypeScope="" ma:versionID="74afe7a39d8b6de94b78b4e1d6e9c8cc">
  <xsd:schema xmlns:xsd="http://www.w3.org/2001/XMLSchema" xmlns:xs="http://www.w3.org/2001/XMLSchema" xmlns:p="http://schemas.microsoft.com/office/2006/metadata/properties" xmlns:ns2="072ffec8-e46b-4ab5-8f0e-3c9b5192d06f" targetNamespace="http://schemas.microsoft.com/office/2006/metadata/properties" ma:root="true" ma:fieldsID="17810be6ecb9851926b6cb89e71a9ce7" ns2:_="">
    <xsd:import namespace="072ffec8-e46b-4ab5-8f0e-3c9b5192d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ffec8-e46b-4ab5-8f0e-3c9b5192d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6B57C1-D684-4259-94CA-208C2EAD5A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158417-37B0-4F09-9ECA-BF311FAF1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A864E-0469-47BF-B32A-46107EE01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ffec8-e46b-4ab5-8f0e-3c9b5192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Admin</cp:lastModifiedBy>
  <cp:revision>19</cp:revision>
  <dcterms:created xsi:type="dcterms:W3CDTF">2023-12-19T11:20:00Z</dcterms:created>
  <dcterms:modified xsi:type="dcterms:W3CDTF">2024-03-07T14:39:00Z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0x01010036CF00C5D674724081850FF147F74868</vt:lpwstr>
  </property>
</Properties>
</file>